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813860">
      <w:pPr>
        <w:pStyle w:val="15"/>
        <w:pageBreakBefore w:val="0"/>
        <w:widowControl w:val="0"/>
        <w:kinsoku/>
        <w:wordWrap/>
        <w:overflowPunct/>
        <w:topLinePunct w:val="0"/>
        <w:autoSpaceDE/>
        <w:autoSpaceDN/>
        <w:bidi w:val="0"/>
        <w:adjustRightInd/>
        <w:snapToGrid/>
        <w:spacing w:beforeLines="100" w:beforeAutospacing="0" w:afterLines="100" w:afterAutospacing="0" w:line="360" w:lineRule="auto"/>
        <w:jc w:val="center"/>
        <w:textAlignment w:val="auto"/>
        <w:rPr>
          <w:rFonts w:hint="eastAsia" w:ascii="仿宋" w:hAnsi="仿宋" w:eastAsia="仿宋" w:cs="仿宋"/>
          <w:b/>
          <w:kern w:val="2"/>
          <w:sz w:val="52"/>
          <w:szCs w:val="32"/>
          <w:highlight w:val="none"/>
        </w:rPr>
      </w:pPr>
    </w:p>
    <w:p w14:paraId="583B704E">
      <w:pPr>
        <w:pStyle w:val="15"/>
        <w:pageBreakBefore w:val="0"/>
        <w:widowControl w:val="0"/>
        <w:kinsoku/>
        <w:wordWrap/>
        <w:overflowPunct/>
        <w:topLinePunct w:val="0"/>
        <w:autoSpaceDE/>
        <w:autoSpaceDN/>
        <w:bidi w:val="0"/>
        <w:adjustRightInd/>
        <w:snapToGrid/>
        <w:spacing w:beforeLines="100" w:beforeAutospacing="0" w:afterLines="100" w:afterAutospacing="0" w:line="360" w:lineRule="auto"/>
        <w:jc w:val="center"/>
        <w:textAlignment w:val="auto"/>
        <w:rPr>
          <w:rFonts w:hint="eastAsia" w:ascii="仿宋" w:hAnsi="仿宋" w:eastAsia="仿宋" w:cs="仿宋"/>
          <w:b/>
          <w:kern w:val="2"/>
          <w:sz w:val="52"/>
          <w:szCs w:val="32"/>
          <w:highlight w:val="none"/>
        </w:rPr>
      </w:pPr>
    </w:p>
    <w:p w14:paraId="7A002784">
      <w:pPr>
        <w:pageBreakBefore w:val="0"/>
        <w:widowControl w:val="0"/>
        <w:kinsoku/>
        <w:wordWrap/>
        <w:overflowPunct/>
        <w:topLinePunct w:val="0"/>
        <w:autoSpaceDE/>
        <w:autoSpaceDN/>
        <w:bidi w:val="0"/>
        <w:adjustRightInd/>
        <w:snapToGrid/>
        <w:spacing w:beforeLines="100" w:afterLines="100" w:line="360" w:lineRule="auto"/>
        <w:jc w:val="center"/>
        <w:textAlignment w:val="auto"/>
        <w:rPr>
          <w:rFonts w:hint="eastAsia" w:ascii="仿宋" w:hAnsi="仿宋" w:eastAsia="仿宋" w:cs="仿宋"/>
          <w:b/>
          <w:sz w:val="84"/>
          <w:szCs w:val="84"/>
          <w:highlight w:val="none"/>
        </w:rPr>
      </w:pPr>
      <w:r>
        <w:rPr>
          <w:rFonts w:hint="eastAsia" w:ascii="仿宋" w:hAnsi="仿宋" w:eastAsia="仿宋" w:cs="仿宋"/>
          <w:b/>
          <w:sz w:val="84"/>
          <w:szCs w:val="84"/>
          <w:highlight w:val="none"/>
        </w:rPr>
        <w:t>竞争性磋商文件</w:t>
      </w:r>
    </w:p>
    <w:p w14:paraId="3748D98A">
      <w:pPr>
        <w:pStyle w:val="15"/>
        <w:pageBreakBefore w:val="0"/>
        <w:widowControl w:val="0"/>
        <w:kinsoku/>
        <w:wordWrap/>
        <w:overflowPunct/>
        <w:topLinePunct w:val="0"/>
        <w:autoSpaceDE/>
        <w:autoSpaceDN/>
        <w:bidi w:val="0"/>
        <w:adjustRightInd/>
        <w:snapToGrid/>
        <w:spacing w:beforeLines="100" w:beforeAutospacing="0" w:afterLines="100" w:afterAutospacing="0" w:line="360" w:lineRule="auto"/>
        <w:jc w:val="center"/>
        <w:textAlignment w:val="auto"/>
        <w:rPr>
          <w:rFonts w:hint="eastAsia" w:ascii="仿宋" w:hAnsi="仿宋" w:eastAsia="仿宋" w:cs="仿宋"/>
          <w:b/>
          <w:kern w:val="2"/>
          <w:sz w:val="52"/>
          <w:szCs w:val="32"/>
          <w:highlight w:val="none"/>
        </w:rPr>
      </w:pPr>
    </w:p>
    <w:p w14:paraId="09A7A337">
      <w:pPr>
        <w:pStyle w:val="15"/>
        <w:pageBreakBefore w:val="0"/>
        <w:widowControl w:val="0"/>
        <w:kinsoku/>
        <w:wordWrap/>
        <w:overflowPunct/>
        <w:topLinePunct w:val="0"/>
        <w:autoSpaceDE/>
        <w:autoSpaceDN/>
        <w:bidi w:val="0"/>
        <w:adjustRightInd/>
        <w:snapToGrid/>
        <w:spacing w:beforeLines="100" w:beforeAutospacing="0" w:afterLines="100" w:afterAutospacing="0" w:line="360" w:lineRule="auto"/>
        <w:jc w:val="center"/>
        <w:textAlignment w:val="auto"/>
        <w:rPr>
          <w:rFonts w:hint="eastAsia" w:ascii="仿宋" w:hAnsi="仿宋" w:eastAsia="仿宋" w:cs="仿宋"/>
          <w:b/>
          <w:kern w:val="2"/>
          <w:sz w:val="52"/>
          <w:szCs w:val="32"/>
          <w:highlight w:val="none"/>
        </w:rPr>
      </w:pPr>
    </w:p>
    <w:p w14:paraId="3CDA84C9">
      <w:pPr>
        <w:keepNext w:val="0"/>
        <w:keepLines w:val="0"/>
        <w:pageBreakBefore w:val="0"/>
        <w:widowControl w:val="0"/>
        <w:kinsoku/>
        <w:wordWrap/>
        <w:overflowPunct/>
        <w:topLinePunct w:val="0"/>
        <w:autoSpaceDE/>
        <w:autoSpaceDN/>
        <w:bidi w:val="0"/>
        <w:adjustRightInd/>
        <w:snapToGrid/>
        <w:spacing w:line="360" w:lineRule="auto"/>
        <w:ind w:left="0" w:leftChars="0" w:firstLine="2329" w:firstLineChars="725"/>
        <w:textAlignment w:val="auto"/>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项目名称：</w:t>
      </w:r>
      <w:r>
        <w:rPr>
          <w:rFonts w:hint="eastAsia" w:ascii="仿宋" w:hAnsi="仿宋" w:eastAsia="仿宋" w:cs="仿宋"/>
          <w:b/>
          <w:sz w:val="32"/>
          <w:szCs w:val="32"/>
          <w:highlight w:val="none"/>
          <w:lang w:eastAsia="zh-CN"/>
        </w:rPr>
        <w:t>思明校区初中部二次供水改造项目</w:t>
      </w:r>
    </w:p>
    <w:p w14:paraId="6EFE0546">
      <w:pPr>
        <w:keepNext w:val="0"/>
        <w:keepLines w:val="0"/>
        <w:pageBreakBefore w:val="0"/>
        <w:widowControl w:val="0"/>
        <w:kinsoku/>
        <w:wordWrap/>
        <w:overflowPunct/>
        <w:topLinePunct w:val="0"/>
        <w:autoSpaceDE/>
        <w:autoSpaceDN/>
        <w:bidi w:val="0"/>
        <w:adjustRightInd/>
        <w:snapToGrid/>
        <w:spacing w:line="360" w:lineRule="auto"/>
        <w:ind w:left="0" w:leftChars="0" w:firstLine="2329" w:firstLineChars="725"/>
        <w:textAlignment w:val="auto"/>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项目编号：</w:t>
      </w:r>
      <w:r>
        <w:rPr>
          <w:rFonts w:hint="eastAsia" w:ascii="仿宋" w:hAnsi="仿宋" w:eastAsia="仿宋" w:cs="仿宋"/>
          <w:b/>
          <w:sz w:val="32"/>
          <w:szCs w:val="32"/>
          <w:highlight w:val="none"/>
          <w:lang w:eastAsia="zh-CN"/>
        </w:rPr>
        <w:t>2026-JF039</w:t>
      </w:r>
    </w:p>
    <w:p w14:paraId="35CA414D">
      <w:pPr>
        <w:keepNext w:val="0"/>
        <w:keepLines w:val="0"/>
        <w:pageBreakBefore w:val="0"/>
        <w:widowControl w:val="0"/>
        <w:kinsoku/>
        <w:wordWrap/>
        <w:overflowPunct/>
        <w:topLinePunct w:val="0"/>
        <w:autoSpaceDE/>
        <w:autoSpaceDN/>
        <w:bidi w:val="0"/>
        <w:adjustRightInd/>
        <w:snapToGrid/>
        <w:spacing w:line="360" w:lineRule="auto"/>
        <w:ind w:left="0" w:leftChars="0" w:firstLine="2329" w:firstLineChars="725"/>
        <w:textAlignment w:val="auto"/>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采</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rPr>
        <w:t>购</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rPr>
        <w:t>人：</w:t>
      </w:r>
      <w:r>
        <w:rPr>
          <w:rFonts w:hint="eastAsia" w:ascii="仿宋" w:hAnsi="仿宋" w:eastAsia="仿宋" w:cs="仿宋"/>
          <w:b/>
          <w:sz w:val="32"/>
          <w:szCs w:val="32"/>
          <w:highlight w:val="none"/>
          <w:lang w:eastAsia="zh-CN"/>
        </w:rPr>
        <w:t>福建省厦门第一中学</w:t>
      </w:r>
    </w:p>
    <w:p w14:paraId="34710E2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b/>
          <w:sz w:val="32"/>
          <w:szCs w:val="32"/>
          <w:highlight w:val="none"/>
        </w:rPr>
      </w:pPr>
    </w:p>
    <w:p w14:paraId="5E5F91F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b/>
          <w:sz w:val="32"/>
          <w:szCs w:val="32"/>
          <w:highlight w:val="none"/>
        </w:rPr>
      </w:pPr>
    </w:p>
    <w:p w14:paraId="075665F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b/>
          <w:sz w:val="32"/>
          <w:szCs w:val="32"/>
          <w:highlight w:val="none"/>
        </w:rPr>
      </w:pPr>
    </w:p>
    <w:p w14:paraId="1DC6A4A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b/>
          <w:sz w:val="32"/>
          <w:szCs w:val="32"/>
          <w:highlight w:val="none"/>
        </w:rPr>
      </w:pPr>
    </w:p>
    <w:p w14:paraId="03E2012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b/>
          <w:sz w:val="32"/>
          <w:szCs w:val="32"/>
          <w:highlight w:val="none"/>
          <w:lang w:eastAsia="zh-CN"/>
        </w:rPr>
      </w:pPr>
    </w:p>
    <w:p w14:paraId="541D3038">
      <w:pPr>
        <w:pStyle w:val="15"/>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b/>
          <w:kern w:val="2"/>
          <w:sz w:val="32"/>
          <w:szCs w:val="32"/>
          <w:highlight w:val="none"/>
        </w:rPr>
      </w:pPr>
      <w:r>
        <w:rPr>
          <w:rFonts w:hint="eastAsia" w:ascii="仿宋" w:hAnsi="仿宋" w:eastAsia="仿宋" w:cs="仿宋"/>
          <w:b/>
          <w:kern w:val="2"/>
          <w:sz w:val="32"/>
          <w:szCs w:val="32"/>
          <w:highlight w:val="none"/>
        </w:rPr>
        <w:t>福建经发招标代理有限公司</w:t>
      </w:r>
      <w:r>
        <w:rPr>
          <w:rFonts w:hint="eastAsia" w:ascii="仿宋" w:hAnsi="仿宋" w:eastAsia="仿宋" w:cs="仿宋"/>
          <w:kern w:val="2"/>
          <w:sz w:val="32"/>
          <w:szCs w:val="32"/>
          <w:highlight w:val="none"/>
        </w:rPr>
        <w:t> </w:t>
      </w:r>
    </w:p>
    <w:p w14:paraId="4521BEAE">
      <w:pPr>
        <w:pStyle w:val="15"/>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b/>
          <w:kern w:val="2"/>
          <w:sz w:val="32"/>
          <w:szCs w:val="32"/>
          <w:highlight w:val="none"/>
        </w:rPr>
      </w:pPr>
      <w:r>
        <w:rPr>
          <w:rFonts w:hint="eastAsia" w:ascii="仿宋" w:hAnsi="仿宋" w:eastAsia="仿宋" w:cs="仿宋"/>
          <w:b/>
          <w:kern w:val="2"/>
          <w:sz w:val="32"/>
          <w:szCs w:val="32"/>
          <w:highlight w:val="none"/>
        </w:rPr>
        <w:t>202</w:t>
      </w:r>
      <w:r>
        <w:rPr>
          <w:rFonts w:hint="eastAsia" w:ascii="仿宋" w:hAnsi="仿宋" w:eastAsia="仿宋" w:cs="仿宋"/>
          <w:b/>
          <w:kern w:val="2"/>
          <w:sz w:val="32"/>
          <w:szCs w:val="32"/>
          <w:highlight w:val="none"/>
          <w:lang w:val="en-US" w:eastAsia="zh-CN"/>
        </w:rPr>
        <w:t>6</w:t>
      </w:r>
      <w:r>
        <w:rPr>
          <w:rFonts w:hint="eastAsia" w:ascii="仿宋" w:hAnsi="仿宋" w:eastAsia="仿宋" w:cs="仿宋"/>
          <w:b/>
          <w:kern w:val="2"/>
          <w:sz w:val="32"/>
          <w:szCs w:val="32"/>
          <w:highlight w:val="none"/>
        </w:rPr>
        <w:t>年</w:t>
      </w:r>
      <w:r>
        <w:rPr>
          <w:rFonts w:hint="eastAsia" w:ascii="仿宋" w:hAnsi="仿宋" w:eastAsia="仿宋" w:cs="仿宋"/>
          <w:b/>
          <w:kern w:val="2"/>
          <w:sz w:val="32"/>
          <w:szCs w:val="32"/>
          <w:highlight w:val="none"/>
          <w:lang w:val="en-US" w:eastAsia="zh-CN"/>
        </w:rPr>
        <w:t>4</w:t>
      </w:r>
      <w:r>
        <w:rPr>
          <w:rFonts w:hint="eastAsia" w:ascii="仿宋" w:hAnsi="仿宋" w:eastAsia="仿宋" w:cs="仿宋"/>
          <w:b/>
          <w:kern w:val="2"/>
          <w:sz w:val="32"/>
          <w:szCs w:val="32"/>
          <w:highlight w:val="none"/>
        </w:rPr>
        <w:t>月</w:t>
      </w:r>
    </w:p>
    <w:p w14:paraId="5420A6F7">
      <w:pPr>
        <w:pageBreakBefore w:val="0"/>
        <w:widowControl w:val="0"/>
        <w:kinsoku/>
        <w:wordWrap/>
        <w:overflowPunct/>
        <w:topLinePunct w:val="0"/>
        <w:autoSpaceDE/>
        <w:autoSpaceDN/>
        <w:bidi w:val="0"/>
        <w:adjustRightInd/>
        <w:snapToGrid/>
        <w:spacing w:line="360" w:lineRule="auto"/>
        <w:textAlignment w:val="auto"/>
        <w:rPr>
          <w:rStyle w:val="21"/>
          <w:rFonts w:hint="eastAsia" w:ascii="仿宋" w:hAnsi="仿宋" w:eastAsia="仿宋" w:cs="仿宋"/>
          <w:sz w:val="30"/>
          <w:szCs w:val="30"/>
          <w:highlight w:val="none"/>
        </w:rPr>
        <w:sectPr>
          <w:headerReference r:id="rId3" w:type="default"/>
          <w:footerReference r:id="rId4" w:type="default"/>
          <w:pgSz w:w="11906" w:h="16838"/>
          <w:pgMar w:top="1440" w:right="1080" w:bottom="1440" w:left="1080" w:header="851" w:footer="992" w:gutter="0"/>
          <w:cols w:space="0" w:num="1"/>
          <w:docGrid w:type="lines" w:linePitch="312" w:charSpace="0"/>
        </w:sectPr>
      </w:pPr>
      <w:r>
        <w:rPr>
          <w:rStyle w:val="21"/>
          <w:rFonts w:hint="eastAsia" w:ascii="仿宋" w:hAnsi="仿宋" w:eastAsia="仿宋" w:cs="仿宋"/>
          <w:sz w:val="30"/>
          <w:szCs w:val="30"/>
          <w:highlight w:val="none"/>
        </w:rPr>
        <w:t> </w:t>
      </w:r>
    </w:p>
    <w:sdt>
      <w:sdtPr>
        <w:rPr>
          <w:rFonts w:hint="eastAsia" w:ascii="仿宋" w:hAnsi="仿宋" w:eastAsia="仿宋" w:cs="仿宋"/>
          <w:b/>
          <w:highlight w:val="none"/>
        </w:rPr>
        <w:id w:val="147459831"/>
        <w:docPartObj>
          <w:docPartGallery w:val="Table of Contents"/>
          <w:docPartUnique/>
        </w:docPartObj>
      </w:sdtPr>
      <w:sdtEndPr>
        <w:rPr>
          <w:rFonts w:hint="eastAsia" w:ascii="仿宋" w:hAnsi="仿宋" w:eastAsia="仿宋" w:cs="仿宋"/>
          <w:b w:val="0"/>
          <w:sz w:val="24"/>
          <w:szCs w:val="24"/>
          <w:highlight w:val="none"/>
        </w:rPr>
      </w:sdtEndPr>
      <w:sdtContent>
        <w:p w14:paraId="4B06CA28">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目录</w:t>
          </w:r>
        </w:p>
        <w:p w14:paraId="69B58F50">
          <w:pPr>
            <w:pStyle w:val="13"/>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TOC \o "1-2" \h \u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_Toc9741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第一章  采购邀请书</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_Toc9741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3</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2E28A506">
          <w:pPr>
            <w:pStyle w:val="13"/>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_Toc30503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第二章  竞争性磋商须知</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_Toc30503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7</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012D27B7">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_Toc29688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第1节  竞争性磋商须知前附表</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_Toc29688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7</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3FDC1EBF">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_Toc32279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第</w:t>
          </w:r>
          <w:r>
            <w:rPr>
              <w:rFonts w:hint="eastAsia" w:ascii="仿宋" w:hAnsi="仿宋" w:eastAsia="仿宋" w:cs="仿宋"/>
              <w:bCs/>
              <w:sz w:val="24"/>
              <w:szCs w:val="24"/>
              <w:highlight w:val="none"/>
              <w:lang w:val="en-US" w:eastAsia="zh-CN"/>
            </w:rPr>
            <w:t>2</w:t>
          </w:r>
          <w:r>
            <w:rPr>
              <w:rFonts w:hint="eastAsia" w:ascii="仿宋" w:hAnsi="仿宋" w:eastAsia="仿宋" w:cs="仿宋"/>
              <w:bCs/>
              <w:sz w:val="24"/>
              <w:szCs w:val="24"/>
              <w:highlight w:val="none"/>
            </w:rPr>
            <w:t xml:space="preserve">节  </w:t>
          </w:r>
          <w:r>
            <w:rPr>
              <w:rFonts w:hint="eastAsia" w:ascii="仿宋" w:hAnsi="仿宋" w:eastAsia="仿宋" w:cs="仿宋"/>
              <w:bCs/>
              <w:kern w:val="0"/>
              <w:sz w:val="24"/>
              <w:szCs w:val="24"/>
              <w:highlight w:val="none"/>
            </w:rPr>
            <w:t>采购标的清单</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_Toc32279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15</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0D7E5EA7">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_Toc11062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专项附件：评审的标准和方法</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_Toc11062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17</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151B907F">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_Toc6613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一、磋商小组</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_Toc6613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17</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085A3391">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_Toc8879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二、磋商程序</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_Toc8879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17</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69EE8099">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_Toc9711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三、综合评分的标准和方法</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_Toc9711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18</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0C01F621">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_Toc12022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四、评审报告</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_Toc12022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27</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3EA8D4EA">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_Toc22266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五、其他规定</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_Toc22266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27</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6F45F7DB">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_Toc25432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第</w:t>
          </w:r>
          <w:r>
            <w:rPr>
              <w:rFonts w:hint="eastAsia" w:ascii="仿宋" w:hAnsi="仿宋" w:eastAsia="仿宋" w:cs="仿宋"/>
              <w:bCs/>
              <w:sz w:val="24"/>
              <w:szCs w:val="24"/>
              <w:highlight w:val="none"/>
              <w:lang w:val="en-US" w:eastAsia="zh-CN"/>
            </w:rPr>
            <w:t>3</w:t>
          </w:r>
          <w:r>
            <w:rPr>
              <w:rFonts w:hint="eastAsia" w:ascii="仿宋" w:hAnsi="仿宋" w:eastAsia="仿宋" w:cs="仿宋"/>
              <w:bCs/>
              <w:sz w:val="24"/>
              <w:szCs w:val="24"/>
              <w:highlight w:val="none"/>
            </w:rPr>
            <w:t>节  竞争性磋商须知</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_Toc25432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27</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05219C8E">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_Toc2035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一、总则</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_Toc2035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27</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35AC2A75">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_Toc30770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二、竞争性磋商文件</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_Toc30770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29</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35D22F59">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_Toc7090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三、响应文件编制</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_Toc7090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30</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5398BEF2">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_Toc26922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四、竞争性磋商</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_Toc26922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34</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7D0B65B5">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_Toc23242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五、合同授予</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_Toc23242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38</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13382EB2">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_Toc12801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六、询问、质疑与投诉</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_Toc12801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39</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50BBF71D">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_Toc14730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七、有关信息公告和监督部门</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_Toc14730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41</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4F632666">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_Toc1809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八、 采购政策</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_Toc1809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41</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69083697">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_Toc3846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九、 根据采购项目特点或政策需要补充的其他内容</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_Toc3846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44</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6382502A">
          <w:pPr>
            <w:pStyle w:val="13"/>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_Toc3774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第三章  采购内容及要求</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_Toc3774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46</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356133D4">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_Toc19779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一、项目概况</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_Toc19779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46</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2B3C7199">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_Toc2908 </w:instrText>
          </w:r>
          <w:r>
            <w:rPr>
              <w:rFonts w:hint="eastAsia" w:ascii="仿宋" w:hAnsi="仿宋" w:eastAsia="仿宋" w:cs="仿宋"/>
              <w:sz w:val="24"/>
              <w:szCs w:val="24"/>
              <w:highlight w:val="none"/>
            </w:rPr>
            <w:fldChar w:fldCharType="separate"/>
          </w:r>
          <w:r>
            <w:rPr>
              <w:rFonts w:hint="eastAsia" w:ascii="仿宋" w:hAnsi="仿宋" w:eastAsia="仿宋" w:cs="仿宋"/>
              <w:bCs/>
              <w:kern w:val="0"/>
              <w:sz w:val="24"/>
              <w:szCs w:val="24"/>
              <w:highlight w:val="none"/>
            </w:rPr>
            <w:t>二、技术要求</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_Toc2908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46</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10C3F37A">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_Toc3078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三、商务条件</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_Toc3078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46</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41EA3D14">
          <w:pPr>
            <w:pStyle w:val="14"/>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_Toc8539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四、其他事项</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_Toc8539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62</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7D0CEDDE">
          <w:pPr>
            <w:pStyle w:val="13"/>
            <w:tabs>
              <w:tab w:val="right" w:leader="dot" w:pos="9746"/>
            </w:tabs>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_Toc723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第四章  合同主要条款及格式</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_Toc723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63</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2BFB6C01">
          <w:pPr>
            <w:pStyle w:val="13"/>
            <w:tabs>
              <w:tab w:val="right" w:leader="dot" w:pos="9746"/>
            </w:tabs>
            <w:spacing w:line="360" w:lineRule="auto"/>
            <w:rPr>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_Toc949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第五章  首次响应文件格式</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_Toc949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66</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p>
        <w:p w14:paraId="1CCC00B0">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Cs w:val="24"/>
              <w:highlight w:val="none"/>
            </w:rPr>
            <w:fldChar w:fldCharType="end"/>
          </w:r>
        </w:p>
      </w:sdtContent>
    </w:sdt>
    <w:p w14:paraId="5C5A8A73">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sectPr>
          <w:pgSz w:w="11906" w:h="16838"/>
          <w:pgMar w:top="1440" w:right="1080" w:bottom="1440" w:left="1080" w:header="851" w:footer="992" w:gutter="0"/>
          <w:cols w:space="0" w:num="1"/>
          <w:docGrid w:type="lines" w:linePitch="312" w:charSpace="0"/>
        </w:sectPr>
      </w:pPr>
    </w:p>
    <w:p w14:paraId="1276B4AB">
      <w:pPr>
        <w:pStyle w:val="4"/>
        <w:pageBreakBefore w:val="0"/>
        <w:widowControl w:val="0"/>
        <w:kinsoku/>
        <w:wordWrap/>
        <w:overflowPunct/>
        <w:topLinePunct w:val="0"/>
        <w:autoSpaceDE/>
        <w:autoSpaceDN/>
        <w:bidi w:val="0"/>
        <w:adjustRightInd/>
        <w:snapToGrid/>
        <w:spacing w:before="312" w:after="312" w:line="360" w:lineRule="auto"/>
        <w:textAlignment w:val="auto"/>
        <w:rPr>
          <w:rFonts w:hint="eastAsia" w:ascii="仿宋" w:hAnsi="仿宋" w:eastAsia="仿宋" w:cs="仿宋"/>
          <w:highlight w:val="none"/>
        </w:rPr>
      </w:pPr>
      <w:bookmarkStart w:id="0" w:name="_Toc9741"/>
      <w:r>
        <w:rPr>
          <w:rFonts w:hint="eastAsia" w:ascii="仿宋" w:hAnsi="仿宋" w:eastAsia="仿宋" w:cs="仿宋"/>
          <w:highlight w:val="none"/>
        </w:rPr>
        <w:t>第一章  采购邀请书</w:t>
      </w:r>
      <w:bookmarkEnd w:id="0"/>
    </w:p>
    <w:p w14:paraId="76F96432">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竞争性磋商采购公告</w:t>
      </w:r>
    </w:p>
    <w:p w14:paraId="79FDB48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福建省厦门第一中学</w:t>
      </w:r>
      <w:r>
        <w:rPr>
          <w:rFonts w:hint="eastAsia" w:ascii="仿宋" w:hAnsi="仿宋" w:eastAsia="仿宋" w:cs="仿宋"/>
          <w:kern w:val="0"/>
          <w:sz w:val="24"/>
          <w:highlight w:val="none"/>
        </w:rPr>
        <w:t>已根据采购相关法律法规，经相应程序确定采用</w:t>
      </w:r>
      <w:r>
        <w:rPr>
          <w:rFonts w:hint="eastAsia" w:ascii="仿宋" w:hAnsi="仿宋" w:eastAsia="仿宋" w:cs="仿宋"/>
          <w:kern w:val="0"/>
          <w:sz w:val="24"/>
          <w:highlight w:val="none"/>
          <w:u w:val="single"/>
        </w:rPr>
        <w:t> 竞争性磋商 </w:t>
      </w:r>
      <w:r>
        <w:rPr>
          <w:rFonts w:hint="eastAsia" w:ascii="仿宋" w:hAnsi="仿宋" w:eastAsia="仿宋" w:cs="仿宋"/>
          <w:kern w:val="0"/>
          <w:sz w:val="24"/>
          <w:highlight w:val="none"/>
        </w:rPr>
        <w:t>方式组织</w:t>
      </w:r>
      <w:r>
        <w:rPr>
          <w:rFonts w:hint="eastAsia" w:ascii="仿宋" w:hAnsi="仿宋" w:eastAsia="仿宋" w:cs="仿宋"/>
          <w:kern w:val="0"/>
          <w:sz w:val="24"/>
          <w:highlight w:val="none"/>
          <w:u w:val="single"/>
          <w:lang w:eastAsia="zh-CN"/>
        </w:rPr>
        <w:t>思明校区初中部二次供水改造项目</w:t>
      </w:r>
      <w:r>
        <w:rPr>
          <w:rFonts w:hint="eastAsia" w:ascii="仿宋" w:hAnsi="仿宋" w:eastAsia="仿宋" w:cs="仿宋"/>
          <w:kern w:val="0"/>
          <w:sz w:val="24"/>
          <w:highlight w:val="none"/>
        </w:rPr>
        <w:t>（以下简称：“本项目”）的采购活动，现欢迎国内合格的供应商前来参加。本项目由采购人委托</w:t>
      </w:r>
      <w:r>
        <w:rPr>
          <w:rFonts w:hint="eastAsia" w:ascii="仿宋" w:hAnsi="仿宋" w:eastAsia="仿宋" w:cs="仿宋"/>
          <w:kern w:val="0"/>
          <w:sz w:val="24"/>
          <w:highlight w:val="none"/>
          <w:u w:val="single"/>
        </w:rPr>
        <w:t>福建经发招标代理有限公司</w:t>
      </w:r>
      <w:r>
        <w:rPr>
          <w:rFonts w:hint="eastAsia" w:ascii="仿宋" w:hAnsi="仿宋" w:eastAsia="仿宋" w:cs="仿宋"/>
          <w:kern w:val="0"/>
          <w:sz w:val="24"/>
          <w:highlight w:val="none"/>
        </w:rPr>
        <w:t>开展竞争性磋商活动。</w:t>
      </w:r>
    </w:p>
    <w:p w14:paraId="08E9105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1.项目名称：</w:t>
      </w:r>
      <w:r>
        <w:rPr>
          <w:rFonts w:hint="eastAsia" w:ascii="仿宋" w:hAnsi="仿宋" w:eastAsia="仿宋" w:cs="仿宋"/>
          <w:kern w:val="0"/>
          <w:sz w:val="24"/>
          <w:highlight w:val="none"/>
          <w:lang w:eastAsia="zh-CN"/>
        </w:rPr>
        <w:t>思明校区初中部二次供水改造项目</w:t>
      </w:r>
      <w:r>
        <w:rPr>
          <w:rFonts w:hint="eastAsia" w:ascii="仿宋" w:hAnsi="仿宋" w:eastAsia="仿宋" w:cs="仿宋"/>
          <w:kern w:val="0"/>
          <w:sz w:val="24"/>
          <w:highlight w:val="none"/>
        </w:rPr>
        <w:t>。</w:t>
      </w:r>
    </w:p>
    <w:p w14:paraId="4A2D7EA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.项目编号：</w:t>
      </w:r>
      <w:r>
        <w:rPr>
          <w:rFonts w:hint="eastAsia" w:ascii="仿宋" w:hAnsi="仿宋" w:eastAsia="仿宋" w:cs="仿宋"/>
          <w:kern w:val="0"/>
          <w:sz w:val="24"/>
          <w:highlight w:val="none"/>
          <w:lang w:eastAsia="zh-CN"/>
        </w:rPr>
        <w:t>2026-JF039</w:t>
      </w:r>
      <w:r>
        <w:rPr>
          <w:rFonts w:hint="eastAsia" w:ascii="仿宋" w:hAnsi="仿宋" w:eastAsia="仿宋" w:cs="仿宋"/>
          <w:kern w:val="0"/>
          <w:sz w:val="24"/>
          <w:highlight w:val="none"/>
        </w:rPr>
        <w:t>。</w:t>
      </w:r>
    </w:p>
    <w:p w14:paraId="39D5740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仿宋" w:hAnsi="仿宋" w:eastAsia="仿宋" w:cs="宋体"/>
          <w:kern w:val="0"/>
          <w:sz w:val="24"/>
          <w:szCs w:val="24"/>
          <w:highlight w:val="none"/>
        </w:rPr>
      </w:pPr>
      <w:r>
        <w:rPr>
          <w:rFonts w:hint="eastAsia" w:ascii="仿宋" w:hAnsi="仿宋" w:eastAsia="仿宋" w:cs="仿宋"/>
          <w:kern w:val="0"/>
          <w:sz w:val="24"/>
          <w:highlight w:val="none"/>
          <w:lang w:val="en-US" w:eastAsia="zh-CN"/>
        </w:rPr>
        <w:t>3</w:t>
      </w:r>
      <w:r>
        <w:rPr>
          <w:rFonts w:hint="eastAsia" w:ascii="仿宋" w:hAnsi="仿宋" w:eastAsia="仿宋" w:cs="仿宋"/>
          <w:kern w:val="0"/>
          <w:sz w:val="24"/>
          <w:highlight w:val="none"/>
        </w:rPr>
        <w:t>.采购内容及要求：</w:t>
      </w:r>
    </w:p>
    <w:p w14:paraId="54AE383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采购包1：</w:t>
      </w:r>
    </w:p>
    <w:p w14:paraId="58B019E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采购包预算金额（元）</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27</w:t>
      </w:r>
      <w:r>
        <w:rPr>
          <w:rFonts w:hint="eastAsia" w:ascii="仿宋" w:hAnsi="仿宋" w:eastAsia="仿宋" w:cs="仿宋"/>
          <w:kern w:val="0"/>
          <w:sz w:val="24"/>
          <w:highlight w:val="none"/>
        </w:rPr>
        <w:t>0</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000.00</w:t>
      </w:r>
    </w:p>
    <w:p w14:paraId="5E571C7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采购包最高限价（元）</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27</w:t>
      </w:r>
      <w:r>
        <w:rPr>
          <w:rFonts w:hint="eastAsia" w:ascii="仿宋" w:hAnsi="仿宋" w:eastAsia="仿宋" w:cs="仿宋"/>
          <w:kern w:val="0"/>
          <w:sz w:val="24"/>
          <w:highlight w:val="none"/>
        </w:rPr>
        <w:t>0</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000.00</w:t>
      </w:r>
    </w:p>
    <w:p w14:paraId="6FA4578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采购包</w:t>
      </w:r>
      <w:r>
        <w:rPr>
          <w:rFonts w:hint="eastAsia" w:ascii="仿宋" w:hAnsi="仿宋" w:eastAsia="仿宋" w:cs="仿宋"/>
          <w:kern w:val="0"/>
          <w:sz w:val="24"/>
          <w:highlight w:val="none"/>
          <w:lang w:val="en-US" w:eastAsia="zh-CN"/>
        </w:rPr>
        <w:t>磋商</w:t>
      </w:r>
      <w:r>
        <w:rPr>
          <w:rFonts w:hint="eastAsia" w:ascii="仿宋" w:hAnsi="仿宋" w:eastAsia="仿宋" w:cs="仿宋"/>
          <w:kern w:val="0"/>
          <w:sz w:val="24"/>
          <w:highlight w:val="none"/>
        </w:rPr>
        <w:t>保证金金额（元）</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1000</w:t>
      </w:r>
      <w:r>
        <w:rPr>
          <w:rFonts w:hint="eastAsia" w:ascii="仿宋" w:hAnsi="仿宋" w:eastAsia="仿宋" w:cs="仿宋"/>
          <w:kern w:val="0"/>
          <w:sz w:val="24"/>
          <w:highlight w:val="none"/>
        </w:rPr>
        <w:t>.00</w:t>
      </w:r>
    </w:p>
    <w:tbl>
      <w:tblPr>
        <w:tblStyle w:val="19"/>
        <w:tblW w:w="4861"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772"/>
        <w:gridCol w:w="2521"/>
        <w:gridCol w:w="829"/>
        <w:gridCol w:w="1878"/>
        <w:gridCol w:w="1180"/>
        <w:gridCol w:w="1279"/>
        <w:gridCol w:w="1227"/>
      </w:tblGrid>
      <w:tr w14:paraId="60D0D5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72" w:type="dxa"/>
            <w:vAlign w:val="center"/>
          </w:tcPr>
          <w:p w14:paraId="135A5C50">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序号</w:t>
            </w:r>
          </w:p>
        </w:tc>
        <w:tc>
          <w:tcPr>
            <w:tcW w:w="2521" w:type="dxa"/>
            <w:vAlign w:val="center"/>
          </w:tcPr>
          <w:p w14:paraId="30CC705B">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标的名称</w:t>
            </w:r>
          </w:p>
        </w:tc>
        <w:tc>
          <w:tcPr>
            <w:tcW w:w="829" w:type="dxa"/>
            <w:vAlign w:val="center"/>
          </w:tcPr>
          <w:p w14:paraId="7F7E5813">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数量</w:t>
            </w:r>
          </w:p>
        </w:tc>
        <w:tc>
          <w:tcPr>
            <w:tcW w:w="1878" w:type="dxa"/>
            <w:vAlign w:val="center"/>
          </w:tcPr>
          <w:p w14:paraId="6FFCA5FF">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标的金额 （元）</w:t>
            </w:r>
          </w:p>
        </w:tc>
        <w:tc>
          <w:tcPr>
            <w:tcW w:w="1180" w:type="dxa"/>
            <w:vAlign w:val="center"/>
          </w:tcPr>
          <w:p w14:paraId="309D2A4A">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计量单位</w:t>
            </w:r>
          </w:p>
        </w:tc>
        <w:tc>
          <w:tcPr>
            <w:tcW w:w="1279" w:type="dxa"/>
            <w:vAlign w:val="center"/>
          </w:tcPr>
          <w:p w14:paraId="162CDE07">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所属行业</w:t>
            </w:r>
          </w:p>
        </w:tc>
        <w:tc>
          <w:tcPr>
            <w:tcW w:w="1227" w:type="dxa"/>
            <w:vAlign w:val="center"/>
          </w:tcPr>
          <w:p w14:paraId="312A3148">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是否允许进口产品</w:t>
            </w:r>
          </w:p>
        </w:tc>
      </w:tr>
      <w:tr w14:paraId="51183D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72" w:type="dxa"/>
            <w:vAlign w:val="center"/>
          </w:tcPr>
          <w:p w14:paraId="0D1EA607">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w:t>
            </w:r>
          </w:p>
        </w:tc>
        <w:tc>
          <w:tcPr>
            <w:tcW w:w="2521" w:type="dxa"/>
            <w:vAlign w:val="center"/>
          </w:tcPr>
          <w:p w14:paraId="41C22129">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u w:val="single"/>
                <w:lang w:eastAsia="zh-CN"/>
              </w:rPr>
              <w:t>思明校区初中部二次供水改造项目</w:t>
            </w:r>
          </w:p>
        </w:tc>
        <w:tc>
          <w:tcPr>
            <w:tcW w:w="829" w:type="dxa"/>
            <w:vAlign w:val="center"/>
          </w:tcPr>
          <w:p w14:paraId="5A5BAB3F">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1</w:t>
            </w:r>
          </w:p>
        </w:tc>
        <w:tc>
          <w:tcPr>
            <w:tcW w:w="1878" w:type="dxa"/>
            <w:vAlign w:val="center"/>
          </w:tcPr>
          <w:p w14:paraId="2C0FB022">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27</w:t>
            </w:r>
            <w:r>
              <w:rPr>
                <w:rFonts w:hint="eastAsia" w:ascii="仿宋" w:hAnsi="仿宋" w:eastAsia="仿宋" w:cs="仿宋"/>
                <w:kern w:val="0"/>
                <w:sz w:val="24"/>
                <w:highlight w:val="none"/>
              </w:rPr>
              <w:t>0</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000.00</w:t>
            </w:r>
          </w:p>
        </w:tc>
        <w:tc>
          <w:tcPr>
            <w:tcW w:w="1180" w:type="dxa"/>
            <w:vAlign w:val="center"/>
          </w:tcPr>
          <w:p w14:paraId="7E249F56">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项</w:t>
            </w:r>
          </w:p>
        </w:tc>
        <w:tc>
          <w:tcPr>
            <w:tcW w:w="1279" w:type="dxa"/>
            <w:vAlign w:val="center"/>
          </w:tcPr>
          <w:p w14:paraId="6C233BAA">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建筑业</w:t>
            </w:r>
          </w:p>
        </w:tc>
        <w:tc>
          <w:tcPr>
            <w:tcW w:w="1227" w:type="dxa"/>
            <w:vAlign w:val="center"/>
          </w:tcPr>
          <w:p w14:paraId="118F2090">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否</w:t>
            </w:r>
          </w:p>
        </w:tc>
      </w:tr>
    </w:tbl>
    <w:p w14:paraId="03B4EAA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4</w:t>
      </w:r>
      <w:r>
        <w:rPr>
          <w:rFonts w:hint="eastAsia" w:ascii="仿宋" w:hAnsi="仿宋" w:eastAsia="仿宋" w:cs="仿宋"/>
          <w:kern w:val="0"/>
          <w:sz w:val="24"/>
          <w:highlight w:val="none"/>
        </w:rPr>
        <w:t>.采购项目需要落实的政府采购政策：</w:t>
      </w:r>
    </w:p>
    <w:p w14:paraId="2A42361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进口产品：</w:t>
      </w:r>
      <w:r>
        <w:rPr>
          <w:rFonts w:hint="eastAsia" w:ascii="仿宋" w:hAnsi="仿宋" w:eastAsia="仿宋" w:cs="仿宋"/>
          <w:kern w:val="0"/>
          <w:sz w:val="24"/>
          <w:highlight w:val="none"/>
        </w:rPr>
        <w:t>本项目不接受进口产品</w:t>
      </w:r>
    </w:p>
    <w:p w14:paraId="0B412AC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节能产品：按照最新节能产品政策执行</w:t>
      </w:r>
    </w:p>
    <w:p w14:paraId="2457AD9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环境标志产品：按照最新环境标志产品政策执行</w:t>
      </w:r>
    </w:p>
    <w:p w14:paraId="1CCA1F4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绿色建材： 按照《关于扩大政府采购支持绿色建材促进建筑品质提升政策实施范围的通知》（财库〔2022〕35号）要求执行</w:t>
      </w:r>
    </w:p>
    <w:p w14:paraId="38AB5EE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.供应商的资格要求：</w:t>
      </w:r>
    </w:p>
    <w:p w14:paraId="76E5FA5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采购包1：</w:t>
      </w:r>
      <w:r>
        <w:rPr>
          <w:rFonts w:hint="eastAsia" w:ascii="仿宋" w:hAnsi="仿宋" w:eastAsia="仿宋" w:cs="仿宋"/>
          <w:kern w:val="0"/>
          <w:sz w:val="24"/>
          <w:highlight w:val="none"/>
          <w:lang w:eastAsia="zh-CN"/>
        </w:rPr>
        <w:t>专门面向中小企业</w:t>
      </w:r>
    </w:p>
    <w:p w14:paraId="62B4675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.1法定条件：符合《中华人民共和国政府采购法》第二十二条第一款规定的条件。</w:t>
      </w:r>
    </w:p>
    <w:p w14:paraId="450A403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.2特定条件：</w:t>
      </w:r>
    </w:p>
    <w:p w14:paraId="688BCDF4">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包：1</w:t>
      </w:r>
    </w:p>
    <w:tbl>
      <w:tblPr>
        <w:tblStyle w:val="19"/>
        <w:tblW w:w="4887"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010"/>
        <w:gridCol w:w="7727"/>
      </w:tblGrid>
      <w:tr w14:paraId="3A03F2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32" w:type="pct"/>
            <w:vAlign w:val="center"/>
          </w:tcPr>
          <w:p w14:paraId="71C8CB6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明细</w:t>
            </w:r>
          </w:p>
        </w:tc>
        <w:tc>
          <w:tcPr>
            <w:tcW w:w="3967" w:type="pct"/>
            <w:vAlign w:val="center"/>
          </w:tcPr>
          <w:p w14:paraId="168D53C9">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描述</w:t>
            </w:r>
          </w:p>
        </w:tc>
      </w:tr>
      <w:tr w14:paraId="11526C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32" w:type="pct"/>
            <w:vAlign w:val="center"/>
          </w:tcPr>
          <w:p w14:paraId="131E16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eastAsia" w:ascii="仿宋" w:hAnsi="仿宋" w:eastAsia="仿宋" w:cs="仿宋"/>
                <w:bCs/>
                <w:kern w:val="0"/>
                <w:sz w:val="24"/>
                <w:highlight w:val="none"/>
              </w:rPr>
            </w:pPr>
            <w:r>
              <w:rPr>
                <w:rFonts w:hint="eastAsia" w:ascii="仿宋" w:hAnsi="仿宋" w:eastAsia="仿宋" w:cs="仿宋"/>
                <w:kern w:val="0"/>
                <w:sz w:val="24"/>
                <w:szCs w:val="24"/>
                <w:highlight w:val="none"/>
              </w:rPr>
              <w:t>“资格承诺函”要求</w:t>
            </w:r>
          </w:p>
        </w:tc>
        <w:tc>
          <w:tcPr>
            <w:tcW w:w="3967" w:type="pct"/>
            <w:vAlign w:val="center"/>
          </w:tcPr>
          <w:p w14:paraId="0658F2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textAlignment w:val="auto"/>
              <w:rPr>
                <w:rFonts w:hint="eastAsia" w:ascii="仿宋" w:hAnsi="仿宋" w:eastAsia="仿宋" w:cs="仿宋"/>
                <w:bCs/>
                <w:kern w:val="0"/>
                <w:sz w:val="24"/>
                <w:highlight w:val="none"/>
              </w:rPr>
            </w:pPr>
            <w:r>
              <w:rPr>
                <w:rFonts w:hint="eastAsia" w:ascii="仿宋" w:hAnsi="仿宋" w:eastAsia="仿宋" w:cs="仿宋"/>
                <w:kern w:val="0"/>
                <w:sz w:val="24"/>
                <w:szCs w:val="24"/>
                <w:highlight w:val="none"/>
              </w:rPr>
              <w:t>根据</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福建省财政厅关于印发推行政府采购供应商资格承诺制指导意见的通知</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闽财购〔2024〕6号</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bidi="ar-SA"/>
              </w:rPr>
              <w:t>本采购包允许供应商采用资格承诺制。采用资格承诺制的供应商，应当根据</w:t>
            </w:r>
            <w:r>
              <w:rPr>
                <w:rFonts w:hint="eastAsia" w:ascii="仿宋" w:hAnsi="仿宋" w:eastAsia="仿宋" w:cs="仿宋"/>
                <w:kern w:val="0"/>
                <w:sz w:val="24"/>
                <w:szCs w:val="24"/>
                <w:highlight w:val="none"/>
                <w:lang w:val="en-US" w:eastAsia="zh-CN"/>
              </w:rPr>
              <w:t>第五章首次响应</w:t>
            </w:r>
            <w:r>
              <w:rPr>
                <w:rFonts w:hint="eastAsia" w:ascii="仿宋" w:hAnsi="仿宋" w:eastAsia="仿宋" w:cs="仿宋"/>
                <w:kern w:val="0"/>
                <w:sz w:val="24"/>
                <w:szCs w:val="24"/>
                <w:highlight w:val="none"/>
              </w:rPr>
              <w:t>文件格式</w:t>
            </w:r>
            <w:r>
              <w:rPr>
                <w:rFonts w:hint="eastAsia" w:ascii="仿宋" w:hAnsi="仿宋" w:eastAsia="仿宋" w:cs="仿宋"/>
                <w:kern w:val="0"/>
                <w:sz w:val="24"/>
                <w:szCs w:val="24"/>
                <w:highlight w:val="none"/>
                <w:lang w:val="en-US" w:eastAsia="zh-CN"/>
              </w:rPr>
              <w:t>要求</w:t>
            </w:r>
            <w:r>
              <w:rPr>
                <w:rFonts w:hint="eastAsia" w:ascii="仿宋" w:hAnsi="仿宋" w:eastAsia="仿宋" w:cs="仿宋"/>
                <w:kern w:val="0"/>
                <w:sz w:val="24"/>
                <w:szCs w:val="24"/>
                <w:highlight w:val="none"/>
                <w:lang w:val="en-US" w:eastAsia="zh-CN" w:bidi="ar-SA"/>
              </w:rPr>
              <w:t>提供资格承诺函，资格承诺函不符合采购文件要求的，视为未按照采购文件规定提交供应商的</w:t>
            </w:r>
            <w:r>
              <w:rPr>
                <w:rFonts w:hint="eastAsia" w:ascii="仿宋" w:hAnsi="仿宋" w:eastAsia="仿宋" w:cs="仿宋"/>
                <w:kern w:val="0"/>
                <w:sz w:val="24"/>
                <w:highlight w:val="none"/>
                <w:lang w:val="en-US" w:eastAsia="zh-CN"/>
              </w:rPr>
              <w:t>资格证明文件</w:t>
            </w:r>
            <w:r>
              <w:rPr>
                <w:rFonts w:hint="eastAsia" w:ascii="仿宋" w:hAnsi="仿宋" w:eastAsia="仿宋" w:cs="仿宋"/>
                <w:kern w:val="0"/>
                <w:sz w:val="24"/>
                <w:szCs w:val="24"/>
                <w:highlight w:val="none"/>
                <w:lang w:val="en-US" w:eastAsia="zh-CN" w:bidi="ar-SA"/>
              </w:rPr>
              <w:t>，按资格审查不合格处理。采购项目有特殊资格要求的，供应商还应按要求提供相应的证明材料。</w:t>
            </w:r>
          </w:p>
        </w:tc>
      </w:tr>
      <w:tr w14:paraId="35510F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32" w:type="pct"/>
            <w:vAlign w:val="center"/>
          </w:tcPr>
          <w:p w14:paraId="30744C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落实政府采购政策的证明材料（专门面向中小企业采购）</w:t>
            </w:r>
          </w:p>
        </w:tc>
        <w:tc>
          <w:tcPr>
            <w:tcW w:w="3967" w:type="pct"/>
            <w:vAlign w:val="center"/>
          </w:tcPr>
          <w:p w14:paraId="3A159B9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本项目为专门面向中小企业采购的项目，根据《财政部、工业和信息化部关于印发政府采购促进中小企业发展管理办法的通知》（财库〔2020〕46号）等相关文件的规定</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w:t>
            </w:r>
            <w:r>
              <w:rPr>
                <w:rFonts w:hint="eastAsia" w:ascii="仿宋" w:hAnsi="仿宋" w:eastAsia="仿宋" w:cs="仿宋"/>
                <w:color w:val="auto"/>
                <w:kern w:val="0"/>
                <w:sz w:val="24"/>
                <w:szCs w:val="24"/>
                <w:highlight w:val="none"/>
                <w:lang w:val="en-US" w:eastAsia="zh-CN"/>
              </w:rPr>
              <w:t xml:space="preserve">按照磋商文件《第二章 </w:t>
            </w:r>
            <w:r>
              <w:rPr>
                <w:rFonts w:hint="eastAsia" w:ascii="仿宋" w:hAnsi="仿宋" w:eastAsia="仿宋" w:cs="仿宋"/>
                <w:b w:val="0"/>
                <w:bCs w:val="0"/>
                <w:color w:val="auto"/>
                <w:kern w:val="0"/>
                <w:sz w:val="24"/>
                <w:szCs w:val="24"/>
                <w:highlight w:val="none"/>
              </w:rPr>
              <w:t>采购标的清单</w:t>
            </w:r>
            <w:r>
              <w:rPr>
                <w:rFonts w:hint="eastAsia" w:ascii="仿宋" w:hAnsi="仿宋" w:eastAsia="仿宋" w:cs="仿宋"/>
                <w:b w:val="0"/>
                <w:bCs w:val="0"/>
                <w:color w:val="auto"/>
                <w:kern w:val="0"/>
                <w:sz w:val="24"/>
                <w:szCs w:val="24"/>
                <w:highlight w:val="none"/>
                <w:lang w:eastAsia="zh-CN"/>
              </w:rPr>
              <w:t>》</w:t>
            </w:r>
            <w:r>
              <w:rPr>
                <w:rFonts w:hint="eastAsia" w:ascii="仿宋" w:hAnsi="仿宋" w:eastAsia="仿宋" w:cs="仿宋"/>
                <w:b w:val="0"/>
                <w:bCs w:val="0"/>
                <w:color w:val="auto"/>
                <w:kern w:val="0"/>
                <w:sz w:val="24"/>
                <w:szCs w:val="24"/>
                <w:highlight w:val="none"/>
                <w:lang w:val="en-US" w:eastAsia="zh-CN"/>
              </w:rPr>
              <w:t>中内容及要求提供</w:t>
            </w:r>
            <w:r>
              <w:rPr>
                <w:rFonts w:hint="eastAsia" w:ascii="仿宋" w:hAnsi="仿宋" w:eastAsia="仿宋" w:cs="仿宋"/>
                <w:color w:val="auto"/>
                <w:kern w:val="0"/>
                <w:sz w:val="24"/>
                <w:szCs w:val="24"/>
                <w:highlight w:val="none"/>
              </w:rPr>
              <w:t>中小企业声明函。</w:t>
            </w:r>
          </w:p>
        </w:tc>
      </w:tr>
      <w:tr w14:paraId="7AA579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32" w:type="pct"/>
            <w:vAlign w:val="center"/>
          </w:tcPr>
          <w:p w14:paraId="41E055B8">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宋体"/>
                <w:kern w:val="0"/>
                <w:sz w:val="24"/>
                <w:szCs w:val="24"/>
                <w:highlight w:val="none"/>
                <w:lang w:val="en-US" w:eastAsia="zh-CN" w:bidi="ar-SA"/>
              </w:rPr>
            </w:pPr>
            <w:r>
              <w:rPr>
                <w:rFonts w:hint="eastAsia" w:ascii="仿宋" w:hAnsi="仿宋" w:eastAsia="仿宋" w:cs="宋体"/>
                <w:kern w:val="0"/>
                <w:sz w:val="24"/>
                <w:highlight w:val="none"/>
                <w:lang w:val="en-US" w:eastAsia="zh-CN"/>
              </w:rPr>
              <w:t>特定资质要求</w:t>
            </w:r>
          </w:p>
        </w:tc>
        <w:tc>
          <w:tcPr>
            <w:tcW w:w="3967" w:type="pct"/>
            <w:vAlign w:val="center"/>
          </w:tcPr>
          <w:p w14:paraId="2938CFA0">
            <w:pPr>
              <w:keepNext w:val="0"/>
              <w:keepLines w:val="0"/>
              <w:widowControl w:val="0"/>
              <w:suppressLineNumbers w:val="0"/>
              <w:spacing w:before="0" w:beforeAutospacing="0" w:after="0" w:afterAutospacing="0" w:line="360" w:lineRule="auto"/>
              <w:ind w:left="0" w:leftChars="0" w:right="0" w:rightChars="0"/>
              <w:rPr>
                <w:rFonts w:hint="eastAsia"/>
                <w:highlight w:val="none"/>
                <w:lang w:val="en-US" w:eastAsia="zh-CN"/>
              </w:rPr>
            </w:pPr>
            <w:r>
              <w:rPr>
                <w:rFonts w:hint="eastAsia" w:ascii="仿宋" w:hAnsi="仿宋" w:eastAsia="仿宋" w:cs="宋体"/>
                <w:b w:val="0"/>
                <w:bCs w:val="0"/>
                <w:kern w:val="0"/>
                <w:sz w:val="24"/>
                <w:szCs w:val="24"/>
                <w:highlight w:val="none"/>
              </w:rPr>
              <w:t>供应商应具有建设主管部门颁发的</w:t>
            </w:r>
            <w:r>
              <w:rPr>
                <w:rFonts w:hint="eastAsia" w:ascii="仿宋" w:hAnsi="仿宋" w:eastAsia="仿宋" w:cs="宋体"/>
                <w:b w:val="0"/>
                <w:bCs w:val="0"/>
                <w:kern w:val="0"/>
                <w:sz w:val="24"/>
                <w:szCs w:val="24"/>
                <w:highlight w:val="none"/>
                <w:lang w:val="en-US" w:eastAsia="zh-CN"/>
              </w:rPr>
              <w:t>市政公用工程施工总承包三级及以上资质或建筑机电安装工程专业承包三级及以上资质</w:t>
            </w:r>
            <w:r>
              <w:rPr>
                <w:rFonts w:hint="eastAsia" w:ascii="仿宋" w:hAnsi="仿宋" w:eastAsia="仿宋" w:cs="宋体"/>
                <w:b w:val="0"/>
                <w:bCs w:val="0"/>
                <w:kern w:val="0"/>
                <w:sz w:val="24"/>
                <w:szCs w:val="24"/>
                <w:highlight w:val="none"/>
                <w:lang w:eastAsia="zh-CN"/>
              </w:rPr>
              <w:t>，</w:t>
            </w:r>
            <w:r>
              <w:rPr>
                <w:rFonts w:hint="eastAsia" w:ascii="仿宋" w:hAnsi="仿宋" w:eastAsia="仿宋" w:cs="宋体"/>
                <w:b w:val="0"/>
                <w:bCs w:val="0"/>
                <w:kern w:val="0"/>
                <w:sz w:val="24"/>
                <w:highlight w:val="none"/>
              </w:rPr>
              <w:t>在</w:t>
            </w:r>
            <w:r>
              <w:rPr>
                <w:rFonts w:hint="eastAsia" w:ascii="仿宋" w:hAnsi="仿宋" w:eastAsia="仿宋" w:cs="宋体"/>
                <w:b w:val="0"/>
                <w:bCs w:val="0"/>
                <w:kern w:val="0"/>
                <w:sz w:val="24"/>
                <w:highlight w:val="none"/>
                <w:lang w:val="en-US" w:eastAsia="zh-CN"/>
              </w:rPr>
              <w:t>响应</w:t>
            </w:r>
            <w:r>
              <w:rPr>
                <w:rFonts w:hint="eastAsia" w:ascii="仿宋" w:hAnsi="仿宋" w:eastAsia="仿宋" w:cs="宋体"/>
                <w:b w:val="0"/>
                <w:bCs w:val="0"/>
                <w:kern w:val="0"/>
                <w:sz w:val="24"/>
                <w:highlight w:val="none"/>
              </w:rPr>
              <w:t>文件中提供资质证书有效复印件</w:t>
            </w:r>
            <w:r>
              <w:rPr>
                <w:rFonts w:hint="eastAsia" w:ascii="仿宋" w:hAnsi="仿宋" w:eastAsia="仿宋" w:cs="宋体"/>
                <w:b w:val="0"/>
                <w:bCs w:val="0"/>
                <w:kern w:val="0"/>
                <w:sz w:val="24"/>
                <w:szCs w:val="24"/>
                <w:highlight w:val="none"/>
              </w:rPr>
              <w:t>。</w:t>
            </w:r>
          </w:p>
        </w:tc>
      </w:tr>
      <w:tr w14:paraId="3EE177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32" w:type="pct"/>
            <w:vAlign w:val="center"/>
          </w:tcPr>
          <w:p w14:paraId="54878A62">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宋体"/>
                <w:kern w:val="0"/>
                <w:sz w:val="24"/>
                <w:szCs w:val="24"/>
                <w:highlight w:val="none"/>
                <w:lang w:val="en-US" w:eastAsia="zh-CN" w:bidi="ar-SA"/>
              </w:rPr>
            </w:pPr>
            <w:r>
              <w:rPr>
                <w:rFonts w:hint="eastAsia" w:ascii="仿宋" w:hAnsi="仿宋" w:eastAsia="仿宋" w:cs="宋体"/>
                <w:kern w:val="0"/>
                <w:sz w:val="24"/>
                <w:highlight w:val="none"/>
                <w:lang w:val="en-US" w:eastAsia="zh-CN"/>
              </w:rPr>
              <w:t>特定资质要求</w:t>
            </w:r>
          </w:p>
        </w:tc>
        <w:tc>
          <w:tcPr>
            <w:tcW w:w="3967" w:type="pct"/>
            <w:vAlign w:val="center"/>
          </w:tcPr>
          <w:p w14:paraId="12EEB982">
            <w:pPr>
              <w:keepNext w:val="0"/>
              <w:keepLines w:val="0"/>
              <w:widowControl w:val="0"/>
              <w:suppressLineNumbers w:val="0"/>
              <w:spacing w:before="0" w:beforeAutospacing="0" w:after="0" w:afterAutospacing="0" w:line="360" w:lineRule="auto"/>
              <w:ind w:left="0" w:leftChars="0" w:right="0" w:rightChars="0"/>
              <w:rPr>
                <w:rFonts w:hint="eastAsia" w:ascii="仿宋" w:hAnsi="仿宋" w:eastAsia="仿宋" w:cs="宋体"/>
                <w:b w:val="0"/>
                <w:bCs w:val="0"/>
                <w:kern w:val="0"/>
                <w:sz w:val="24"/>
                <w:szCs w:val="24"/>
                <w:highlight w:val="none"/>
                <w:lang w:val="en-US" w:eastAsia="zh-CN" w:bidi="ar-SA"/>
              </w:rPr>
            </w:pPr>
            <w:r>
              <w:rPr>
                <w:rFonts w:hint="eastAsia" w:ascii="仿宋" w:hAnsi="仿宋" w:eastAsia="仿宋" w:cs="宋体"/>
                <w:kern w:val="0"/>
                <w:sz w:val="24"/>
                <w:highlight w:val="none"/>
                <w:lang w:eastAsia="zh-CN"/>
              </w:rPr>
              <w:t>供应商</w:t>
            </w:r>
            <w:r>
              <w:rPr>
                <w:rFonts w:hint="eastAsia" w:ascii="仿宋" w:hAnsi="仿宋" w:eastAsia="仿宋" w:cs="宋体"/>
                <w:kern w:val="0"/>
                <w:sz w:val="24"/>
                <w:highlight w:val="none"/>
              </w:rPr>
              <w:t>必须具有安全生产许可证，在</w:t>
            </w:r>
            <w:r>
              <w:rPr>
                <w:rFonts w:hint="eastAsia" w:ascii="仿宋" w:hAnsi="仿宋" w:eastAsia="仿宋" w:cs="宋体"/>
                <w:kern w:val="0"/>
                <w:sz w:val="24"/>
                <w:highlight w:val="none"/>
                <w:lang w:val="en-US" w:eastAsia="zh-CN"/>
              </w:rPr>
              <w:t>响应</w:t>
            </w:r>
            <w:r>
              <w:rPr>
                <w:rFonts w:hint="eastAsia" w:ascii="仿宋" w:hAnsi="仿宋" w:eastAsia="仿宋" w:cs="宋体"/>
                <w:kern w:val="0"/>
                <w:sz w:val="24"/>
                <w:highlight w:val="none"/>
              </w:rPr>
              <w:t>文件中提供该许可证有效复印件。</w:t>
            </w:r>
          </w:p>
        </w:tc>
      </w:tr>
      <w:tr w14:paraId="0A48DA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32" w:type="pct"/>
            <w:shd w:val="clear" w:color="auto" w:fill="auto"/>
            <w:vAlign w:val="center"/>
          </w:tcPr>
          <w:p w14:paraId="617C06B0">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关于“财务状况报告”的补充说明</w:t>
            </w:r>
          </w:p>
        </w:tc>
        <w:tc>
          <w:tcPr>
            <w:tcW w:w="3967" w:type="pct"/>
            <w:shd w:val="clear" w:color="auto" w:fill="auto"/>
            <w:vAlign w:val="center"/>
          </w:tcPr>
          <w:p w14:paraId="20962F4D">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rightChars="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kern w:val="0"/>
                <w:sz w:val="24"/>
                <w:highlight w:val="none"/>
              </w:rPr>
              <w:t>首次响应文件递交截止时间</w:t>
            </w:r>
            <w:r>
              <w:rPr>
                <w:rFonts w:hint="eastAsia" w:ascii="仿宋" w:hAnsi="仿宋" w:eastAsia="仿宋" w:cs="仿宋"/>
                <w:color w:val="auto"/>
                <w:kern w:val="0"/>
                <w:sz w:val="24"/>
                <w:szCs w:val="24"/>
                <w:highlight w:val="none"/>
                <w:lang w:val="en-US" w:eastAsia="zh-CN"/>
              </w:rPr>
              <w:t>在2026年1月1日至6月30日的，供应商提供经审计的2024年度财务报告视同满足要求。</w:t>
            </w:r>
          </w:p>
        </w:tc>
      </w:tr>
    </w:tbl>
    <w:p w14:paraId="7A90D342">
      <w:pPr>
        <w:widowControl/>
        <w:spacing w:line="360" w:lineRule="auto"/>
        <w:ind w:firstLine="480" w:firstLineChars="200"/>
        <w:jc w:val="left"/>
        <w:rPr>
          <w:rFonts w:ascii="仿宋" w:hAnsi="仿宋" w:eastAsia="仿宋" w:cs="宋体"/>
          <w:kern w:val="0"/>
          <w:sz w:val="24"/>
          <w:highlight w:val="none"/>
        </w:rPr>
      </w:pP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.3</w:t>
      </w:r>
      <w:r>
        <w:rPr>
          <w:rFonts w:ascii="仿宋" w:hAnsi="仿宋" w:eastAsia="仿宋" w:cs="宋体"/>
          <w:kern w:val="0"/>
          <w:sz w:val="24"/>
          <w:highlight w:val="none"/>
        </w:rPr>
        <w:t>是否接受联合体形式的响应磋商：</w:t>
      </w:r>
    </w:p>
    <w:p w14:paraId="79D50AC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ascii="仿宋" w:hAnsi="仿宋" w:eastAsia="仿宋" w:cs="宋体"/>
          <w:kern w:val="0"/>
          <w:sz w:val="24"/>
          <w:highlight w:val="none"/>
        </w:rPr>
        <w:t>采购包1</w:t>
      </w:r>
      <w:r>
        <w:rPr>
          <w:rFonts w:hint="eastAsia" w:ascii="仿宋" w:hAnsi="仿宋" w:eastAsia="仿宋" w:cs="仿宋"/>
          <w:kern w:val="0"/>
          <w:sz w:val="24"/>
          <w:highlight w:val="none"/>
        </w:rPr>
        <w:t>：不接受</w:t>
      </w:r>
    </w:p>
    <w:p w14:paraId="1D32B0A9">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※根据上述资格要求，供应商响应文件中应提交的“资格证明文件”相关规定和资料要求，详见竞争性磋商须知前附表和磋商文件第五章。</w:t>
      </w:r>
    </w:p>
    <w:p w14:paraId="08870E8D">
      <w:pPr>
        <w:pStyle w:val="15"/>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仿宋" w:hAnsi="仿宋" w:eastAsia="仿宋" w:cs="仿宋"/>
          <w:highlight w:val="none"/>
        </w:rPr>
      </w:pP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.竞争性磋商文件获取期限：</w:t>
      </w:r>
      <w:r>
        <w:rPr>
          <w:rFonts w:hint="eastAsia" w:ascii="仿宋" w:hAnsi="仿宋" w:eastAsia="仿宋" w:cs="仿宋"/>
          <w:b/>
          <w:bCs/>
          <w:highlight w:val="none"/>
        </w:rPr>
        <w:t>202</w:t>
      </w:r>
      <w:r>
        <w:rPr>
          <w:rFonts w:hint="eastAsia" w:ascii="仿宋" w:hAnsi="仿宋" w:eastAsia="仿宋" w:cs="仿宋"/>
          <w:b/>
          <w:bCs/>
          <w:highlight w:val="none"/>
          <w:lang w:val="en-US" w:eastAsia="zh-CN"/>
        </w:rPr>
        <w:t>6</w:t>
      </w:r>
      <w:r>
        <w:rPr>
          <w:rFonts w:hint="eastAsia" w:ascii="仿宋" w:hAnsi="仿宋" w:eastAsia="仿宋" w:cs="仿宋"/>
          <w:b/>
          <w:bCs/>
          <w:highlight w:val="none"/>
        </w:rPr>
        <w:t>年</w:t>
      </w:r>
      <w:r>
        <w:rPr>
          <w:rFonts w:hint="eastAsia" w:ascii="仿宋" w:hAnsi="仿宋" w:eastAsia="仿宋" w:cs="仿宋"/>
          <w:b/>
          <w:bCs/>
          <w:highlight w:val="none"/>
          <w:lang w:val="en-US" w:eastAsia="zh-CN"/>
        </w:rPr>
        <w:t>4</w:t>
      </w:r>
      <w:r>
        <w:rPr>
          <w:rFonts w:hint="eastAsia" w:ascii="仿宋" w:hAnsi="仿宋" w:eastAsia="仿宋" w:cs="仿宋"/>
          <w:b/>
          <w:bCs/>
          <w:highlight w:val="none"/>
        </w:rPr>
        <w:t>月</w:t>
      </w:r>
      <w:r>
        <w:rPr>
          <w:rFonts w:hint="eastAsia" w:ascii="仿宋" w:hAnsi="仿宋" w:eastAsia="仿宋" w:cs="仿宋"/>
          <w:b/>
          <w:bCs/>
          <w:highlight w:val="none"/>
          <w:lang w:val="en-US" w:eastAsia="zh-CN"/>
        </w:rPr>
        <w:t>23</w:t>
      </w:r>
      <w:r>
        <w:rPr>
          <w:rFonts w:hint="eastAsia" w:ascii="仿宋" w:hAnsi="仿宋" w:eastAsia="仿宋" w:cs="仿宋"/>
          <w:b/>
          <w:bCs/>
          <w:highlight w:val="none"/>
        </w:rPr>
        <w:t>日至202</w:t>
      </w:r>
      <w:r>
        <w:rPr>
          <w:rFonts w:hint="eastAsia" w:ascii="仿宋" w:hAnsi="仿宋" w:eastAsia="仿宋" w:cs="仿宋"/>
          <w:b/>
          <w:bCs/>
          <w:highlight w:val="none"/>
          <w:lang w:val="en-US" w:eastAsia="zh-CN"/>
        </w:rPr>
        <w:t>6</w:t>
      </w:r>
      <w:r>
        <w:rPr>
          <w:rFonts w:hint="eastAsia" w:ascii="仿宋" w:hAnsi="仿宋" w:eastAsia="仿宋" w:cs="仿宋"/>
          <w:b/>
          <w:bCs/>
          <w:highlight w:val="none"/>
        </w:rPr>
        <w:t>年</w:t>
      </w:r>
      <w:r>
        <w:rPr>
          <w:rFonts w:hint="eastAsia" w:ascii="仿宋" w:hAnsi="仿宋" w:eastAsia="仿宋" w:cs="仿宋"/>
          <w:b/>
          <w:bCs/>
          <w:highlight w:val="none"/>
          <w:lang w:val="en-US" w:eastAsia="zh-CN"/>
        </w:rPr>
        <w:t>4</w:t>
      </w:r>
      <w:r>
        <w:rPr>
          <w:rFonts w:hint="eastAsia" w:ascii="仿宋" w:hAnsi="仿宋" w:eastAsia="仿宋" w:cs="仿宋"/>
          <w:b/>
          <w:bCs/>
          <w:highlight w:val="none"/>
        </w:rPr>
        <w:t>月</w:t>
      </w:r>
      <w:r>
        <w:rPr>
          <w:rFonts w:hint="eastAsia" w:ascii="仿宋" w:hAnsi="仿宋" w:eastAsia="仿宋" w:cs="仿宋"/>
          <w:b/>
          <w:bCs/>
          <w:highlight w:val="none"/>
          <w:lang w:val="en-US" w:eastAsia="zh-CN"/>
        </w:rPr>
        <w:t>30</w:t>
      </w:r>
      <w:r>
        <w:rPr>
          <w:rFonts w:hint="eastAsia" w:ascii="仿宋" w:hAnsi="仿宋" w:eastAsia="仿宋" w:cs="仿宋"/>
          <w:b/>
          <w:bCs/>
          <w:highlight w:val="none"/>
        </w:rPr>
        <w:t>日</w:t>
      </w:r>
      <w:r>
        <w:rPr>
          <w:rFonts w:hint="eastAsia" w:ascii="仿宋" w:hAnsi="仿宋" w:eastAsia="仿宋" w:cs="仿宋"/>
          <w:highlight w:val="none"/>
        </w:rPr>
        <w:t>，每天上午</w:t>
      </w:r>
      <w:r>
        <w:rPr>
          <w:rFonts w:hint="eastAsia" w:ascii="仿宋" w:hAnsi="仿宋" w:eastAsia="仿宋" w:cs="仿宋"/>
          <w:highlight w:val="none"/>
          <w:lang w:val="en-US" w:eastAsia="zh-CN"/>
        </w:rPr>
        <w:t>08</w:t>
      </w:r>
      <w:r>
        <w:rPr>
          <w:rFonts w:hint="eastAsia" w:ascii="仿宋" w:hAnsi="仿宋" w:eastAsia="仿宋" w:cs="仿宋"/>
          <w:highlight w:val="none"/>
        </w:rPr>
        <w:t>：</w:t>
      </w:r>
      <w:r>
        <w:rPr>
          <w:rFonts w:hint="eastAsia" w:ascii="仿宋" w:hAnsi="仿宋" w:eastAsia="仿宋" w:cs="仿宋"/>
          <w:highlight w:val="none"/>
          <w:lang w:val="en-US" w:eastAsia="zh-CN"/>
        </w:rPr>
        <w:t>30</w:t>
      </w:r>
      <w:r>
        <w:rPr>
          <w:rFonts w:hint="eastAsia" w:ascii="仿宋" w:hAnsi="仿宋" w:eastAsia="仿宋" w:cs="仿宋"/>
          <w:highlight w:val="none"/>
        </w:rPr>
        <w:t>至</w:t>
      </w:r>
      <w:r>
        <w:rPr>
          <w:rFonts w:hint="eastAsia" w:ascii="仿宋" w:hAnsi="仿宋" w:eastAsia="仿宋" w:cs="仿宋"/>
          <w:highlight w:val="none"/>
          <w:lang w:val="en-US" w:eastAsia="zh-CN"/>
        </w:rPr>
        <w:t>12</w:t>
      </w:r>
      <w:r>
        <w:rPr>
          <w:rFonts w:hint="eastAsia" w:ascii="仿宋" w:hAnsi="仿宋" w:eastAsia="仿宋" w:cs="仿宋"/>
          <w:highlight w:val="none"/>
        </w:rPr>
        <w:t>：</w:t>
      </w:r>
      <w:r>
        <w:rPr>
          <w:rFonts w:hint="eastAsia" w:ascii="仿宋" w:hAnsi="仿宋" w:eastAsia="仿宋" w:cs="仿宋"/>
          <w:highlight w:val="none"/>
          <w:lang w:val="en-US" w:eastAsia="zh-CN"/>
        </w:rPr>
        <w:t>00</w:t>
      </w:r>
      <w:r>
        <w:rPr>
          <w:rFonts w:hint="eastAsia" w:ascii="仿宋" w:hAnsi="仿宋" w:eastAsia="仿宋" w:cs="仿宋"/>
          <w:highlight w:val="none"/>
        </w:rPr>
        <w:t>，下午14</w:t>
      </w:r>
      <w:r>
        <w:rPr>
          <w:rFonts w:hint="eastAsia" w:ascii="仿宋" w:hAnsi="仿宋" w:eastAsia="仿宋" w:cs="仿宋"/>
          <w:highlight w:val="none"/>
          <w:lang w:eastAsia="zh-CN"/>
        </w:rPr>
        <w:t>：</w:t>
      </w:r>
      <w:r>
        <w:rPr>
          <w:rFonts w:hint="eastAsia" w:ascii="仿宋" w:hAnsi="仿宋" w:eastAsia="仿宋" w:cs="仿宋"/>
          <w:highlight w:val="none"/>
        </w:rPr>
        <w:t>30至17</w:t>
      </w:r>
      <w:r>
        <w:rPr>
          <w:rFonts w:hint="eastAsia" w:ascii="仿宋" w:hAnsi="仿宋" w:eastAsia="仿宋" w:cs="仿宋"/>
          <w:highlight w:val="none"/>
          <w:lang w:eastAsia="zh-CN"/>
        </w:rPr>
        <w:t>：</w:t>
      </w:r>
      <w:r>
        <w:rPr>
          <w:rFonts w:hint="eastAsia" w:ascii="仿宋" w:hAnsi="仿宋" w:eastAsia="仿宋" w:cs="仿宋"/>
          <w:highlight w:val="none"/>
        </w:rPr>
        <w:t>30（北京时间，法定节假日除外），如有更改，详见</w:t>
      </w:r>
      <w:r>
        <w:rPr>
          <w:rFonts w:hint="eastAsia" w:ascii="仿宋" w:hAnsi="仿宋" w:eastAsia="仿宋" w:cs="仿宋"/>
          <w:highlight w:val="none"/>
          <w:lang w:eastAsia="zh-CN"/>
        </w:rPr>
        <w:t>更正公告</w:t>
      </w:r>
      <w:r>
        <w:rPr>
          <w:rFonts w:hint="eastAsia" w:ascii="仿宋" w:hAnsi="仿宋" w:eastAsia="仿宋" w:cs="仿宋"/>
          <w:highlight w:val="none"/>
        </w:rPr>
        <w:t>（若有），若不一致，以</w:t>
      </w:r>
      <w:r>
        <w:rPr>
          <w:rFonts w:hint="eastAsia" w:ascii="仿宋" w:hAnsi="仿宋" w:eastAsia="仿宋" w:cs="仿宋"/>
          <w:highlight w:val="none"/>
          <w:lang w:eastAsia="zh-CN"/>
        </w:rPr>
        <w:t>更正公告</w:t>
      </w:r>
      <w:r>
        <w:rPr>
          <w:rFonts w:hint="eastAsia" w:ascii="仿宋" w:hAnsi="仿宋" w:eastAsia="仿宋" w:cs="仿宋"/>
          <w:highlight w:val="none"/>
        </w:rPr>
        <w:t>（若有）为准。</w:t>
      </w:r>
    </w:p>
    <w:p w14:paraId="66E0A3A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shd w:val="clear" w:color="auto" w:fill="FFFFFF"/>
          <w:lang w:val="en-US" w:eastAsia="zh-CN"/>
        </w:rPr>
        <w:t>6</w:t>
      </w:r>
      <w:r>
        <w:rPr>
          <w:rFonts w:hint="eastAsia" w:ascii="仿宋" w:hAnsi="仿宋" w:eastAsia="仿宋" w:cs="仿宋"/>
          <w:kern w:val="0"/>
          <w:sz w:val="24"/>
          <w:highlight w:val="none"/>
          <w:shd w:val="clear" w:color="auto" w:fill="FFFFFF"/>
        </w:rPr>
        <w:t>.1如果采购过程中有发出</w:t>
      </w:r>
      <w:r>
        <w:rPr>
          <w:rFonts w:hint="eastAsia" w:ascii="仿宋" w:hAnsi="仿宋" w:eastAsia="仿宋" w:cs="仿宋"/>
          <w:kern w:val="0"/>
          <w:sz w:val="24"/>
          <w:highlight w:val="none"/>
          <w:shd w:val="clear" w:color="auto" w:fill="FFFFFF"/>
          <w:lang w:eastAsia="zh-CN"/>
        </w:rPr>
        <w:t>更正公告</w:t>
      </w:r>
      <w:r>
        <w:rPr>
          <w:rFonts w:hint="eastAsia" w:ascii="仿宋" w:hAnsi="仿宋" w:eastAsia="仿宋" w:cs="仿宋"/>
          <w:kern w:val="0"/>
          <w:sz w:val="24"/>
          <w:highlight w:val="none"/>
          <w:shd w:val="clear" w:color="auto" w:fill="FFFFFF"/>
        </w:rPr>
        <w:t>，采购人将根据实际情况确定是否延长</w:t>
      </w:r>
      <w:r>
        <w:rPr>
          <w:rFonts w:hint="eastAsia" w:ascii="仿宋" w:hAnsi="仿宋" w:eastAsia="仿宋" w:cs="仿宋"/>
          <w:kern w:val="0"/>
          <w:sz w:val="24"/>
          <w:highlight w:val="none"/>
          <w:shd w:val="clear" w:color="auto" w:fill="FFFFFF"/>
          <w:lang w:eastAsia="zh-CN"/>
        </w:rPr>
        <w:t>文件获取</w:t>
      </w:r>
      <w:r>
        <w:rPr>
          <w:rFonts w:hint="eastAsia" w:ascii="仿宋" w:hAnsi="仿宋" w:eastAsia="仿宋" w:cs="仿宋"/>
          <w:kern w:val="0"/>
          <w:sz w:val="24"/>
          <w:highlight w:val="none"/>
          <w:shd w:val="clear" w:color="auto" w:fill="FFFFFF"/>
        </w:rPr>
        <w:t>期限，则</w:t>
      </w:r>
      <w:r>
        <w:rPr>
          <w:rFonts w:hint="eastAsia" w:ascii="仿宋" w:hAnsi="仿宋" w:eastAsia="仿宋" w:cs="仿宋"/>
          <w:kern w:val="0"/>
          <w:sz w:val="24"/>
          <w:highlight w:val="none"/>
          <w:shd w:val="clear" w:color="auto" w:fill="FFFFFF"/>
          <w:lang w:eastAsia="zh-CN"/>
        </w:rPr>
        <w:t>文件获取</w:t>
      </w:r>
      <w:r>
        <w:rPr>
          <w:rFonts w:hint="eastAsia" w:ascii="仿宋" w:hAnsi="仿宋" w:eastAsia="仿宋" w:cs="仿宋"/>
          <w:kern w:val="0"/>
          <w:sz w:val="24"/>
          <w:highlight w:val="none"/>
          <w:shd w:val="clear" w:color="auto" w:fill="FFFFFF"/>
        </w:rPr>
        <w:t>截止时间以</w:t>
      </w:r>
      <w:r>
        <w:rPr>
          <w:rFonts w:hint="eastAsia" w:ascii="仿宋" w:hAnsi="仿宋" w:eastAsia="仿宋" w:cs="仿宋"/>
          <w:kern w:val="0"/>
          <w:sz w:val="24"/>
          <w:highlight w:val="none"/>
          <w:shd w:val="clear" w:color="auto" w:fill="FFFFFF"/>
          <w:lang w:eastAsia="zh-CN"/>
        </w:rPr>
        <w:t>更正公告</w:t>
      </w:r>
      <w:r>
        <w:rPr>
          <w:rFonts w:hint="eastAsia" w:ascii="仿宋" w:hAnsi="仿宋" w:eastAsia="仿宋" w:cs="仿宋"/>
          <w:kern w:val="0"/>
          <w:sz w:val="24"/>
          <w:highlight w:val="none"/>
          <w:shd w:val="clear" w:color="auto" w:fill="FFFFFF"/>
        </w:rPr>
        <w:t>中的约定为准。</w:t>
      </w:r>
    </w:p>
    <w:p w14:paraId="0322960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shd w:val="clear" w:color="auto" w:fill="FFFFFF"/>
          <w:lang w:val="en-US" w:eastAsia="zh-CN"/>
        </w:rPr>
        <w:t>6</w:t>
      </w:r>
      <w:r>
        <w:rPr>
          <w:rFonts w:hint="eastAsia" w:ascii="仿宋" w:hAnsi="仿宋" w:eastAsia="仿宋" w:cs="仿宋"/>
          <w:kern w:val="0"/>
          <w:sz w:val="24"/>
          <w:highlight w:val="none"/>
          <w:shd w:val="clear" w:color="auto" w:fill="FFFFFF"/>
        </w:rPr>
        <w:t>.2竞争性磋商文件获取期限内，供应商应</w:t>
      </w:r>
      <w:r>
        <w:rPr>
          <w:rFonts w:hint="eastAsia" w:ascii="仿宋" w:hAnsi="仿宋" w:eastAsia="仿宋" w:cs="仿宋"/>
          <w:kern w:val="0"/>
          <w:sz w:val="24"/>
          <w:highlight w:val="none"/>
          <w:shd w:val="clear" w:color="auto" w:fill="FFFFFF"/>
          <w:lang w:val="en-US" w:eastAsia="zh-CN"/>
        </w:rPr>
        <w:t>按要求</w:t>
      </w:r>
      <w:r>
        <w:rPr>
          <w:rFonts w:hint="eastAsia" w:ascii="仿宋" w:hAnsi="仿宋" w:eastAsia="仿宋" w:cs="仿宋"/>
          <w:kern w:val="0"/>
          <w:sz w:val="24"/>
          <w:highlight w:val="none"/>
          <w:shd w:val="clear" w:color="auto" w:fill="FFFFFF"/>
        </w:rPr>
        <w:t>获取竞争性磋商文件，否则报价响应将被拒绝。</w:t>
      </w:r>
    </w:p>
    <w:p w14:paraId="00FDD49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7</w:t>
      </w:r>
      <w:r>
        <w:rPr>
          <w:rFonts w:hint="eastAsia" w:ascii="仿宋" w:hAnsi="仿宋" w:eastAsia="仿宋" w:cs="仿宋"/>
          <w:kern w:val="0"/>
          <w:sz w:val="24"/>
          <w:highlight w:val="none"/>
        </w:rPr>
        <w:t>.获取采购文件时间、地点、方式：</w:t>
      </w:r>
    </w:p>
    <w:p w14:paraId="07A8021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7</w:t>
      </w:r>
      <w:r>
        <w:rPr>
          <w:rFonts w:hint="eastAsia" w:ascii="仿宋" w:hAnsi="仿宋" w:eastAsia="仿宋" w:cs="仿宋"/>
          <w:kern w:val="0"/>
          <w:sz w:val="24"/>
          <w:highlight w:val="none"/>
        </w:rPr>
        <w:t>.1采购文件的提供期限：详见磋商公告或更正公告（若有），若不一致，以更正公告（若有）为准。采购文件的提供期限与磋商公告的公告期限保持一致。</w:t>
      </w:r>
    </w:p>
    <w:p w14:paraId="22CB154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highlight w:val="none"/>
          <w:lang w:val="en-US" w:eastAsia="zh-CN"/>
        </w:rPr>
        <w:t>7</w:t>
      </w:r>
      <w:r>
        <w:rPr>
          <w:rFonts w:hint="eastAsia" w:ascii="仿宋" w:hAnsi="仿宋" w:eastAsia="仿宋" w:cs="仿宋"/>
          <w:kern w:val="0"/>
          <w:sz w:val="24"/>
          <w:highlight w:val="none"/>
        </w:rPr>
        <w:t>.2获取地点及方式：</w:t>
      </w:r>
      <w:r>
        <w:rPr>
          <w:rFonts w:hint="eastAsia" w:ascii="仿宋" w:hAnsi="仿宋" w:eastAsia="仿宋" w:cs="仿宋"/>
          <w:sz w:val="24"/>
          <w:szCs w:val="24"/>
          <w:highlight w:val="none"/>
        </w:rPr>
        <w:t>供应商可前往</w:t>
      </w:r>
      <w:r>
        <w:rPr>
          <w:rFonts w:hint="eastAsia" w:ascii="仿宋" w:hAnsi="仿宋" w:eastAsia="仿宋" w:cs="仿宋"/>
          <w:b/>
          <w:sz w:val="24"/>
          <w:szCs w:val="24"/>
          <w:highlight w:val="none"/>
          <w:u w:val="single"/>
        </w:rPr>
        <w:t>厦门市思明区湖滨南路359号海晟国际大厦24层2401</w:t>
      </w:r>
      <w:r>
        <w:rPr>
          <w:rFonts w:hint="eastAsia" w:ascii="仿宋" w:hAnsi="仿宋" w:eastAsia="仿宋" w:cs="仿宋"/>
          <w:b/>
          <w:bCs/>
          <w:sz w:val="24"/>
          <w:szCs w:val="24"/>
          <w:highlight w:val="none"/>
          <w:u w:val="single"/>
          <w:lang w:eastAsia="zh-CN"/>
        </w:rPr>
        <w:t>（</w:t>
      </w:r>
      <w:r>
        <w:rPr>
          <w:rFonts w:hint="eastAsia" w:ascii="仿宋" w:hAnsi="仿宋" w:eastAsia="仿宋" w:cs="仿宋"/>
          <w:b/>
          <w:bCs/>
          <w:sz w:val="24"/>
          <w:szCs w:val="24"/>
          <w:highlight w:val="none"/>
          <w:u w:val="single"/>
        </w:rPr>
        <w:t>福建经发招标代理有限公司</w:t>
      </w:r>
      <w:r>
        <w:rPr>
          <w:rFonts w:hint="eastAsia" w:ascii="仿宋" w:hAnsi="仿宋" w:eastAsia="仿宋" w:cs="仿宋"/>
          <w:b/>
          <w:bCs/>
          <w:sz w:val="24"/>
          <w:szCs w:val="24"/>
          <w:highlight w:val="none"/>
          <w:u w:val="single"/>
          <w:lang w:eastAsia="zh-CN"/>
        </w:rPr>
        <w:t>）</w:t>
      </w:r>
      <w:r>
        <w:rPr>
          <w:rFonts w:hint="eastAsia" w:ascii="仿宋" w:hAnsi="仿宋" w:eastAsia="仿宋" w:cs="仿宋"/>
          <w:b w:val="0"/>
          <w:bCs w:val="0"/>
          <w:sz w:val="24"/>
          <w:szCs w:val="24"/>
          <w:highlight w:val="none"/>
          <w:u w:val="none"/>
        </w:rPr>
        <w:t>填写《购标一览表》现场</w:t>
      </w:r>
      <w:r>
        <w:rPr>
          <w:rFonts w:hint="eastAsia" w:ascii="仿宋" w:hAnsi="仿宋" w:eastAsia="仿宋" w:cs="仿宋"/>
          <w:b w:val="0"/>
          <w:bCs w:val="0"/>
          <w:sz w:val="24"/>
          <w:szCs w:val="24"/>
          <w:highlight w:val="none"/>
          <w:u w:val="none"/>
          <w:lang w:val="en-US" w:eastAsia="zh-CN"/>
        </w:rPr>
        <w:t>获取</w:t>
      </w:r>
      <w:r>
        <w:rPr>
          <w:rFonts w:hint="eastAsia" w:ascii="仿宋" w:hAnsi="仿宋" w:eastAsia="仿宋" w:cs="仿宋"/>
          <w:b w:val="0"/>
          <w:bCs w:val="0"/>
          <w:sz w:val="24"/>
          <w:szCs w:val="24"/>
          <w:highlight w:val="none"/>
          <w:u w:val="none"/>
        </w:rPr>
        <w:t>，也可通过电子邮件</w:t>
      </w:r>
      <w:r>
        <w:rPr>
          <w:rFonts w:hint="eastAsia" w:ascii="仿宋" w:hAnsi="仿宋" w:eastAsia="仿宋" w:cs="仿宋"/>
          <w:b w:val="0"/>
          <w:bCs w:val="0"/>
          <w:sz w:val="24"/>
          <w:szCs w:val="24"/>
          <w:highlight w:val="none"/>
          <w:u w:val="none"/>
          <w:lang w:val="en-US" w:eastAsia="zh-CN"/>
        </w:rPr>
        <w:t>获取</w:t>
      </w:r>
      <w:r>
        <w:rPr>
          <w:rFonts w:hint="eastAsia" w:ascii="仿宋" w:hAnsi="仿宋" w:eastAsia="仿宋" w:cs="仿宋"/>
          <w:b w:val="0"/>
          <w:bCs w:val="0"/>
          <w:sz w:val="24"/>
          <w:szCs w:val="24"/>
          <w:highlight w:val="none"/>
          <w:u w:val="none"/>
        </w:rPr>
        <w:t>（供应商将采购文件</w:t>
      </w:r>
      <w:r>
        <w:rPr>
          <w:rFonts w:hint="eastAsia" w:ascii="仿宋" w:hAnsi="仿宋" w:eastAsia="仿宋" w:cs="仿宋"/>
          <w:b w:val="0"/>
          <w:bCs w:val="0"/>
          <w:sz w:val="24"/>
          <w:szCs w:val="24"/>
          <w:highlight w:val="none"/>
          <w:u w:val="none"/>
          <w:lang w:eastAsia="zh-CN"/>
        </w:rPr>
        <w:t>费</w:t>
      </w:r>
      <w:r>
        <w:rPr>
          <w:rFonts w:hint="eastAsia" w:ascii="仿宋" w:hAnsi="仿宋" w:eastAsia="仿宋" w:cs="仿宋"/>
          <w:b w:val="0"/>
          <w:bCs w:val="0"/>
          <w:sz w:val="24"/>
          <w:szCs w:val="24"/>
          <w:highlight w:val="none"/>
          <w:u w:val="none"/>
        </w:rPr>
        <w:t>汇到我司账户，并将《购标一览表》及采购文件</w:t>
      </w:r>
      <w:r>
        <w:rPr>
          <w:rFonts w:hint="eastAsia" w:ascii="仿宋" w:hAnsi="仿宋" w:eastAsia="仿宋" w:cs="仿宋"/>
          <w:sz w:val="24"/>
          <w:szCs w:val="24"/>
          <w:highlight w:val="none"/>
          <w:lang w:eastAsia="zh-CN"/>
        </w:rPr>
        <w:t>费</w:t>
      </w:r>
      <w:r>
        <w:rPr>
          <w:rFonts w:hint="eastAsia" w:ascii="仿宋" w:hAnsi="仿宋" w:eastAsia="仿宋" w:cs="仿宋"/>
          <w:sz w:val="24"/>
          <w:szCs w:val="24"/>
          <w:highlight w:val="none"/>
        </w:rPr>
        <w:t>截图发到我司邮箱：2026886635@qq.com）。邮寄</w:t>
      </w:r>
      <w:r>
        <w:rPr>
          <w:rFonts w:hint="eastAsia" w:ascii="仿宋" w:hAnsi="仿宋" w:eastAsia="仿宋" w:cs="仿宋"/>
          <w:sz w:val="24"/>
          <w:szCs w:val="24"/>
          <w:highlight w:val="none"/>
          <w:lang w:val="en-US" w:eastAsia="zh-CN"/>
        </w:rPr>
        <w:t>获取</w:t>
      </w:r>
      <w:r>
        <w:rPr>
          <w:rFonts w:hint="eastAsia" w:ascii="仿宋" w:hAnsi="仿宋" w:eastAsia="仿宋" w:cs="仿宋"/>
          <w:sz w:val="24"/>
          <w:szCs w:val="24"/>
          <w:highlight w:val="none"/>
        </w:rPr>
        <w:t>的以款到我司账户的时间为准。若采用邮寄获取方式，则邮寄费到付，采购代理机构对邮寄过程中可能发生的延误、缺漏或丢失恕不负责。</w:t>
      </w:r>
    </w:p>
    <w:p w14:paraId="13DD56E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8</w:t>
      </w:r>
      <w:r>
        <w:rPr>
          <w:rFonts w:hint="eastAsia" w:ascii="仿宋" w:hAnsi="仿宋" w:eastAsia="仿宋" w:cs="仿宋"/>
          <w:kern w:val="0"/>
          <w:sz w:val="24"/>
          <w:highlight w:val="none"/>
        </w:rPr>
        <w:t>.采购文件售价：</w:t>
      </w:r>
      <w:r>
        <w:rPr>
          <w:rFonts w:hint="eastAsia" w:ascii="仿宋" w:hAnsi="仿宋" w:eastAsia="仿宋" w:cs="仿宋"/>
          <w:kern w:val="0"/>
          <w:sz w:val="24"/>
          <w:highlight w:val="none"/>
          <w:lang w:val="en-US" w:eastAsia="zh-CN"/>
        </w:rPr>
        <w:t>100</w:t>
      </w:r>
      <w:r>
        <w:rPr>
          <w:rFonts w:hint="eastAsia" w:ascii="仿宋" w:hAnsi="仿宋" w:eastAsia="仿宋" w:cs="仿宋"/>
          <w:kern w:val="0"/>
          <w:sz w:val="24"/>
          <w:highlight w:val="none"/>
        </w:rPr>
        <w:t>元。 </w:t>
      </w:r>
    </w:p>
    <w:p w14:paraId="7A8D28C6">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9</w:t>
      </w:r>
      <w:r>
        <w:rPr>
          <w:rFonts w:hint="eastAsia" w:ascii="仿宋" w:hAnsi="仿宋" w:eastAsia="仿宋" w:cs="仿宋"/>
          <w:kern w:val="0"/>
          <w:sz w:val="24"/>
          <w:highlight w:val="none"/>
        </w:rPr>
        <w:t>.首次响应文件递交截止时间及地点：</w:t>
      </w:r>
      <w:r>
        <w:rPr>
          <w:rFonts w:hint="eastAsia" w:ascii="仿宋" w:hAnsi="仿宋" w:eastAsia="仿宋" w:cs="仿宋"/>
          <w:b/>
          <w:bCs/>
          <w:kern w:val="0"/>
          <w:sz w:val="24"/>
          <w:highlight w:val="none"/>
        </w:rPr>
        <w:t>202</w:t>
      </w:r>
      <w:r>
        <w:rPr>
          <w:rFonts w:hint="eastAsia" w:ascii="仿宋" w:hAnsi="仿宋" w:eastAsia="仿宋" w:cs="仿宋"/>
          <w:b/>
          <w:bCs/>
          <w:kern w:val="0"/>
          <w:sz w:val="24"/>
          <w:highlight w:val="none"/>
          <w:lang w:val="en-US" w:eastAsia="zh-CN"/>
        </w:rPr>
        <w:t>6</w:t>
      </w:r>
      <w:r>
        <w:rPr>
          <w:rFonts w:hint="eastAsia" w:ascii="仿宋" w:hAnsi="仿宋" w:eastAsia="仿宋" w:cs="仿宋"/>
          <w:b/>
          <w:bCs/>
          <w:kern w:val="0"/>
          <w:sz w:val="24"/>
          <w:highlight w:val="none"/>
        </w:rPr>
        <w:t>年</w:t>
      </w:r>
      <w:r>
        <w:rPr>
          <w:rFonts w:hint="eastAsia" w:ascii="仿宋" w:hAnsi="仿宋" w:eastAsia="仿宋" w:cs="仿宋"/>
          <w:b/>
          <w:bCs/>
          <w:kern w:val="0"/>
          <w:sz w:val="24"/>
          <w:highlight w:val="none"/>
          <w:lang w:val="en-US" w:eastAsia="zh-CN"/>
        </w:rPr>
        <w:t>5</w:t>
      </w:r>
      <w:r>
        <w:rPr>
          <w:rFonts w:hint="eastAsia" w:ascii="仿宋" w:hAnsi="仿宋" w:eastAsia="仿宋" w:cs="仿宋"/>
          <w:b/>
          <w:bCs/>
          <w:kern w:val="0"/>
          <w:sz w:val="24"/>
          <w:highlight w:val="none"/>
        </w:rPr>
        <w:t>月</w:t>
      </w:r>
      <w:r>
        <w:rPr>
          <w:rFonts w:hint="eastAsia" w:ascii="仿宋" w:hAnsi="仿宋" w:eastAsia="仿宋" w:cs="仿宋"/>
          <w:b/>
          <w:bCs/>
          <w:kern w:val="0"/>
          <w:sz w:val="24"/>
          <w:highlight w:val="none"/>
          <w:lang w:val="en-US" w:eastAsia="zh-CN"/>
        </w:rPr>
        <w:t>9</w:t>
      </w:r>
      <w:r>
        <w:rPr>
          <w:rFonts w:hint="eastAsia" w:ascii="仿宋" w:hAnsi="仿宋" w:eastAsia="仿宋" w:cs="仿宋"/>
          <w:b/>
          <w:bCs/>
          <w:kern w:val="0"/>
          <w:sz w:val="24"/>
          <w:highlight w:val="none"/>
        </w:rPr>
        <w:t>日上午</w:t>
      </w:r>
      <w:r>
        <w:rPr>
          <w:rFonts w:hint="eastAsia" w:ascii="仿宋" w:hAnsi="仿宋" w:eastAsia="仿宋" w:cs="仿宋"/>
          <w:b/>
          <w:bCs/>
          <w:kern w:val="0"/>
          <w:sz w:val="24"/>
          <w:highlight w:val="none"/>
          <w:lang w:val="en-US" w:eastAsia="zh-CN"/>
        </w:rPr>
        <w:t>9</w:t>
      </w:r>
      <w:r>
        <w:rPr>
          <w:rFonts w:hint="eastAsia" w:ascii="仿宋" w:hAnsi="仿宋" w:eastAsia="仿宋" w:cs="仿宋"/>
          <w:b/>
          <w:bCs/>
          <w:kern w:val="0"/>
          <w:sz w:val="24"/>
          <w:highlight w:val="none"/>
        </w:rPr>
        <w:t>点</w:t>
      </w:r>
      <w:r>
        <w:rPr>
          <w:rFonts w:hint="eastAsia" w:ascii="仿宋" w:hAnsi="仿宋" w:eastAsia="仿宋" w:cs="仿宋"/>
          <w:b/>
          <w:bCs/>
          <w:kern w:val="0"/>
          <w:sz w:val="24"/>
          <w:highlight w:val="none"/>
          <w:lang w:val="en-US" w:eastAsia="zh-CN"/>
        </w:rPr>
        <w:t>30</w:t>
      </w:r>
      <w:r>
        <w:rPr>
          <w:rFonts w:hint="eastAsia" w:ascii="仿宋" w:hAnsi="仿宋" w:eastAsia="仿宋" w:cs="仿宋"/>
          <w:b/>
          <w:bCs/>
          <w:kern w:val="0"/>
          <w:sz w:val="24"/>
          <w:highlight w:val="none"/>
        </w:rPr>
        <w:t>分</w:t>
      </w:r>
      <w:r>
        <w:rPr>
          <w:rFonts w:hint="eastAsia" w:ascii="仿宋" w:hAnsi="仿宋" w:eastAsia="仿宋" w:cs="仿宋"/>
          <w:kern w:val="0"/>
          <w:sz w:val="24"/>
          <w:highlight w:val="none"/>
        </w:rPr>
        <w:t>（北京时间），供应商应在此之前将响应文件提交到</w:t>
      </w:r>
      <w:r>
        <w:rPr>
          <w:rFonts w:hint="eastAsia" w:ascii="仿宋" w:hAnsi="仿宋" w:eastAsia="仿宋" w:cs="仿宋"/>
          <w:b/>
          <w:bCs/>
          <w:kern w:val="0"/>
          <w:sz w:val="24"/>
          <w:highlight w:val="none"/>
          <w:u w:val="single"/>
        </w:rPr>
        <w:t>厦门市思明区湖滨南路359号海晟国际大厦24层2401</w:t>
      </w:r>
      <w:r>
        <w:rPr>
          <w:rFonts w:hint="eastAsia" w:ascii="仿宋" w:hAnsi="仿宋" w:eastAsia="仿宋" w:cs="仿宋"/>
          <w:b/>
          <w:bCs/>
          <w:kern w:val="0"/>
          <w:sz w:val="24"/>
          <w:highlight w:val="none"/>
          <w:u w:val="single"/>
          <w:lang w:eastAsia="zh-CN"/>
        </w:rPr>
        <w:t>（</w:t>
      </w:r>
      <w:r>
        <w:rPr>
          <w:rFonts w:hint="eastAsia" w:ascii="仿宋" w:hAnsi="仿宋" w:eastAsia="仿宋" w:cs="仿宋"/>
          <w:b/>
          <w:bCs/>
          <w:kern w:val="0"/>
          <w:sz w:val="24"/>
          <w:highlight w:val="none"/>
          <w:u w:val="single"/>
        </w:rPr>
        <w:t>福建经发招标代理有限公司</w:t>
      </w:r>
      <w:r>
        <w:rPr>
          <w:rFonts w:hint="eastAsia" w:ascii="仿宋" w:hAnsi="仿宋" w:eastAsia="仿宋" w:cs="仿宋"/>
          <w:b/>
          <w:bCs/>
          <w:kern w:val="0"/>
          <w:sz w:val="24"/>
          <w:highlight w:val="none"/>
          <w:u w:val="single"/>
          <w:lang w:eastAsia="zh-CN"/>
        </w:rPr>
        <w:t>）</w:t>
      </w:r>
      <w:r>
        <w:rPr>
          <w:rFonts w:hint="eastAsia" w:ascii="仿宋" w:hAnsi="仿宋" w:eastAsia="仿宋" w:cs="仿宋"/>
          <w:b/>
          <w:bCs/>
          <w:kern w:val="0"/>
          <w:sz w:val="24"/>
          <w:highlight w:val="none"/>
          <w:u w:val="single"/>
        </w:rPr>
        <w:t>开标厅</w:t>
      </w:r>
      <w:r>
        <w:rPr>
          <w:rFonts w:hint="eastAsia" w:ascii="仿宋" w:hAnsi="仿宋" w:eastAsia="仿宋" w:cs="仿宋"/>
          <w:kern w:val="0"/>
          <w:sz w:val="24"/>
          <w:highlight w:val="none"/>
        </w:rPr>
        <w:t>，</w:t>
      </w:r>
      <w:r>
        <w:rPr>
          <w:rFonts w:hint="eastAsia" w:ascii="仿宋" w:hAnsi="仿宋" w:eastAsia="仿宋" w:cs="仿宋"/>
          <w:b/>
          <w:bCs/>
          <w:kern w:val="0"/>
          <w:sz w:val="24"/>
          <w:highlight w:val="none"/>
          <w:lang w:val="en-US" w:eastAsia="zh-CN"/>
        </w:rPr>
        <w:t>本项目不支持采用邮寄的形式递交响应文件，</w:t>
      </w:r>
      <w:r>
        <w:rPr>
          <w:rFonts w:hint="eastAsia" w:ascii="仿宋" w:hAnsi="仿宋" w:eastAsia="仿宋" w:cs="仿宋"/>
          <w:kern w:val="0"/>
          <w:sz w:val="24"/>
          <w:highlight w:val="none"/>
        </w:rPr>
        <w:t>逾期送达的或不符合规定的响应文件将被拒绝接收。如有更改，详见</w:t>
      </w:r>
      <w:r>
        <w:rPr>
          <w:rFonts w:hint="eastAsia" w:ascii="仿宋" w:hAnsi="仿宋" w:eastAsia="仿宋" w:cs="仿宋"/>
          <w:kern w:val="0"/>
          <w:sz w:val="24"/>
          <w:highlight w:val="none"/>
          <w:lang w:eastAsia="zh-CN"/>
        </w:rPr>
        <w:t>更正公告</w:t>
      </w:r>
      <w:r>
        <w:rPr>
          <w:rFonts w:hint="eastAsia" w:ascii="仿宋" w:hAnsi="仿宋" w:eastAsia="仿宋" w:cs="仿宋"/>
          <w:kern w:val="0"/>
          <w:sz w:val="24"/>
          <w:highlight w:val="none"/>
        </w:rPr>
        <w:t>（若有），若不一致，以</w:t>
      </w:r>
      <w:r>
        <w:rPr>
          <w:rFonts w:hint="eastAsia" w:ascii="仿宋" w:hAnsi="仿宋" w:eastAsia="仿宋" w:cs="仿宋"/>
          <w:kern w:val="0"/>
          <w:sz w:val="24"/>
          <w:highlight w:val="none"/>
          <w:lang w:eastAsia="zh-CN"/>
        </w:rPr>
        <w:t>更正公告</w:t>
      </w:r>
      <w:r>
        <w:rPr>
          <w:rFonts w:hint="eastAsia" w:ascii="仿宋" w:hAnsi="仿宋" w:eastAsia="仿宋" w:cs="仿宋"/>
          <w:kern w:val="0"/>
          <w:sz w:val="24"/>
          <w:highlight w:val="none"/>
        </w:rPr>
        <w:t>（若有）为准。</w:t>
      </w:r>
    </w:p>
    <w:p w14:paraId="5E886C2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kern w:val="0"/>
          <w:sz w:val="24"/>
          <w:highlight w:val="none"/>
          <w:lang w:val="en-US" w:eastAsia="zh-CN"/>
        </w:rPr>
        <w:t>0</w:t>
      </w:r>
      <w:r>
        <w:rPr>
          <w:rFonts w:hint="eastAsia" w:ascii="仿宋" w:hAnsi="仿宋" w:eastAsia="仿宋" w:cs="仿宋"/>
          <w:kern w:val="0"/>
          <w:sz w:val="24"/>
          <w:highlight w:val="none"/>
        </w:rPr>
        <w:t>.磋商时间及地点：</w:t>
      </w:r>
      <w:r>
        <w:rPr>
          <w:rFonts w:hint="eastAsia" w:ascii="仿宋" w:hAnsi="仿宋" w:eastAsia="仿宋" w:cs="仿宋"/>
          <w:b/>
          <w:bCs/>
          <w:kern w:val="0"/>
          <w:sz w:val="24"/>
          <w:highlight w:val="none"/>
        </w:rPr>
        <w:t>202</w:t>
      </w:r>
      <w:r>
        <w:rPr>
          <w:rFonts w:hint="eastAsia" w:ascii="仿宋" w:hAnsi="仿宋" w:eastAsia="仿宋" w:cs="仿宋"/>
          <w:b/>
          <w:bCs/>
          <w:kern w:val="0"/>
          <w:sz w:val="24"/>
          <w:highlight w:val="none"/>
          <w:lang w:val="en-US" w:eastAsia="zh-CN"/>
        </w:rPr>
        <w:t>6</w:t>
      </w:r>
      <w:r>
        <w:rPr>
          <w:rFonts w:hint="eastAsia" w:ascii="仿宋" w:hAnsi="仿宋" w:eastAsia="仿宋" w:cs="仿宋"/>
          <w:b/>
          <w:bCs/>
          <w:kern w:val="0"/>
          <w:sz w:val="24"/>
          <w:highlight w:val="none"/>
        </w:rPr>
        <w:t>年</w:t>
      </w:r>
      <w:r>
        <w:rPr>
          <w:rFonts w:hint="eastAsia" w:ascii="仿宋" w:hAnsi="仿宋" w:eastAsia="仿宋" w:cs="仿宋"/>
          <w:b/>
          <w:bCs/>
          <w:kern w:val="0"/>
          <w:sz w:val="24"/>
          <w:highlight w:val="none"/>
          <w:lang w:val="en-US" w:eastAsia="zh-CN"/>
        </w:rPr>
        <w:t>5</w:t>
      </w:r>
      <w:r>
        <w:rPr>
          <w:rFonts w:hint="eastAsia" w:ascii="仿宋" w:hAnsi="仿宋" w:eastAsia="仿宋" w:cs="仿宋"/>
          <w:b/>
          <w:bCs/>
          <w:kern w:val="0"/>
          <w:sz w:val="24"/>
          <w:highlight w:val="none"/>
        </w:rPr>
        <w:t>月</w:t>
      </w:r>
      <w:r>
        <w:rPr>
          <w:rFonts w:hint="eastAsia" w:ascii="仿宋" w:hAnsi="仿宋" w:eastAsia="仿宋" w:cs="仿宋"/>
          <w:b/>
          <w:bCs/>
          <w:kern w:val="0"/>
          <w:sz w:val="24"/>
          <w:highlight w:val="none"/>
          <w:lang w:val="en-US" w:eastAsia="zh-CN"/>
        </w:rPr>
        <w:t>9</w:t>
      </w:r>
      <w:r>
        <w:rPr>
          <w:rFonts w:hint="eastAsia" w:ascii="仿宋" w:hAnsi="仿宋" w:eastAsia="仿宋" w:cs="仿宋"/>
          <w:b/>
          <w:bCs/>
          <w:kern w:val="0"/>
          <w:sz w:val="24"/>
          <w:highlight w:val="none"/>
        </w:rPr>
        <w:t>日上午</w:t>
      </w:r>
      <w:r>
        <w:rPr>
          <w:rFonts w:hint="eastAsia" w:ascii="仿宋" w:hAnsi="仿宋" w:eastAsia="仿宋" w:cs="仿宋"/>
          <w:b/>
          <w:bCs/>
          <w:kern w:val="0"/>
          <w:sz w:val="24"/>
          <w:highlight w:val="none"/>
          <w:lang w:val="en-US" w:eastAsia="zh-CN"/>
        </w:rPr>
        <w:t>9</w:t>
      </w:r>
      <w:r>
        <w:rPr>
          <w:rFonts w:hint="eastAsia" w:ascii="仿宋" w:hAnsi="仿宋" w:eastAsia="仿宋" w:cs="仿宋"/>
          <w:b/>
          <w:bCs/>
          <w:kern w:val="0"/>
          <w:sz w:val="24"/>
          <w:highlight w:val="none"/>
        </w:rPr>
        <w:t>点</w:t>
      </w:r>
      <w:r>
        <w:rPr>
          <w:rFonts w:hint="eastAsia" w:ascii="仿宋" w:hAnsi="仿宋" w:eastAsia="仿宋" w:cs="仿宋"/>
          <w:b/>
          <w:bCs/>
          <w:kern w:val="0"/>
          <w:sz w:val="24"/>
          <w:highlight w:val="none"/>
          <w:lang w:val="en-US" w:eastAsia="zh-CN"/>
        </w:rPr>
        <w:t>30</w:t>
      </w:r>
      <w:r>
        <w:rPr>
          <w:rFonts w:hint="eastAsia" w:ascii="仿宋" w:hAnsi="仿宋" w:eastAsia="仿宋" w:cs="仿宋"/>
          <w:b/>
          <w:bCs/>
          <w:kern w:val="0"/>
          <w:sz w:val="24"/>
          <w:highlight w:val="none"/>
        </w:rPr>
        <w:t>分</w:t>
      </w:r>
      <w:r>
        <w:rPr>
          <w:rFonts w:hint="eastAsia" w:ascii="仿宋" w:hAnsi="仿宋" w:eastAsia="仿宋" w:cs="仿宋"/>
          <w:kern w:val="0"/>
          <w:sz w:val="24"/>
          <w:highlight w:val="none"/>
        </w:rPr>
        <w:t>（北京时间），磋商地点</w:t>
      </w:r>
      <w:r>
        <w:rPr>
          <w:rFonts w:hint="eastAsia" w:ascii="仿宋" w:hAnsi="仿宋" w:eastAsia="仿宋" w:cs="仿宋"/>
          <w:b/>
          <w:bCs/>
          <w:kern w:val="0"/>
          <w:sz w:val="24"/>
          <w:highlight w:val="none"/>
          <w:u w:val="single"/>
        </w:rPr>
        <w:t>厦门市思明区湖滨南路359号海晟国际大厦24层2401</w:t>
      </w:r>
      <w:r>
        <w:rPr>
          <w:rFonts w:hint="eastAsia" w:ascii="仿宋" w:hAnsi="仿宋" w:eastAsia="仿宋" w:cs="仿宋"/>
          <w:b/>
          <w:bCs/>
          <w:kern w:val="0"/>
          <w:sz w:val="24"/>
          <w:highlight w:val="none"/>
          <w:u w:val="single"/>
          <w:lang w:eastAsia="zh-CN"/>
        </w:rPr>
        <w:t>（</w:t>
      </w:r>
      <w:r>
        <w:rPr>
          <w:rFonts w:hint="eastAsia" w:ascii="仿宋" w:hAnsi="仿宋" w:eastAsia="仿宋" w:cs="仿宋"/>
          <w:b/>
          <w:bCs/>
          <w:kern w:val="0"/>
          <w:sz w:val="24"/>
          <w:highlight w:val="none"/>
          <w:u w:val="single"/>
        </w:rPr>
        <w:t>福建经发招标代理有限公司</w:t>
      </w:r>
      <w:r>
        <w:rPr>
          <w:rFonts w:hint="eastAsia" w:ascii="仿宋" w:hAnsi="仿宋" w:eastAsia="仿宋" w:cs="仿宋"/>
          <w:b/>
          <w:bCs/>
          <w:kern w:val="0"/>
          <w:sz w:val="24"/>
          <w:highlight w:val="none"/>
          <w:u w:val="single"/>
          <w:lang w:eastAsia="zh-CN"/>
        </w:rPr>
        <w:t>）</w:t>
      </w:r>
      <w:r>
        <w:rPr>
          <w:rFonts w:hint="eastAsia" w:ascii="仿宋" w:hAnsi="仿宋" w:eastAsia="仿宋" w:cs="仿宋"/>
          <w:kern w:val="0"/>
          <w:sz w:val="24"/>
          <w:highlight w:val="none"/>
        </w:rPr>
        <w:t>，如有更改，详见更正公告（若有），若不一致，以更正公告（若有）为准。</w:t>
      </w:r>
    </w:p>
    <w:p w14:paraId="1D5ABD7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rPr>
        <w:t>.竞争性磋商公告期限：自发布公告之日起3个工作日。</w:t>
      </w:r>
    </w:p>
    <w:p w14:paraId="45B72D6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eastAsia="zh-CN"/>
        </w:rPr>
      </w:pPr>
      <w:r>
        <w:rPr>
          <w:rFonts w:hint="eastAsia" w:ascii="仿宋" w:hAnsi="仿宋" w:eastAsia="仿宋" w:cs="仿宋"/>
          <w:kern w:val="0"/>
          <w:sz w:val="24"/>
          <w:highlight w:val="none"/>
        </w:rPr>
        <w:t>1</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.采购人：</w:t>
      </w:r>
      <w:r>
        <w:rPr>
          <w:rFonts w:hint="eastAsia" w:ascii="仿宋" w:hAnsi="仿宋" w:eastAsia="仿宋" w:cs="仿宋"/>
          <w:kern w:val="0"/>
          <w:sz w:val="24"/>
          <w:highlight w:val="none"/>
          <w:lang w:eastAsia="zh-CN"/>
        </w:rPr>
        <w:t>福建省厦门第一中学</w:t>
      </w:r>
    </w:p>
    <w:p w14:paraId="24C39C0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地 址：福建省厦门市思明区文园路93号、75号</w:t>
      </w:r>
    </w:p>
    <w:p w14:paraId="7659BE1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rPr>
        <w:t>联系人：</w:t>
      </w:r>
      <w:r>
        <w:rPr>
          <w:rFonts w:hint="eastAsia" w:ascii="仿宋" w:hAnsi="仿宋" w:eastAsia="仿宋" w:cs="仿宋"/>
          <w:kern w:val="0"/>
          <w:sz w:val="24"/>
          <w:highlight w:val="none"/>
          <w:lang w:val="en-US" w:eastAsia="zh-CN"/>
        </w:rPr>
        <w:t>熊老师</w:t>
      </w:r>
    </w:p>
    <w:p w14:paraId="01449F9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联系方法：</w:t>
      </w:r>
      <w:r>
        <w:rPr>
          <w:rFonts w:hint="eastAsia" w:ascii="仿宋" w:hAnsi="仿宋" w:eastAsia="仿宋" w:cs="仿宋"/>
          <w:kern w:val="0"/>
          <w:sz w:val="24"/>
          <w:highlight w:val="none"/>
          <w:lang w:val="en-US" w:eastAsia="zh-CN"/>
        </w:rPr>
        <w:t>0592-</w:t>
      </w:r>
      <w:r>
        <w:rPr>
          <w:rFonts w:hint="eastAsia" w:ascii="仿宋" w:hAnsi="仿宋" w:eastAsia="仿宋" w:cs="仿宋"/>
          <w:kern w:val="0"/>
          <w:sz w:val="24"/>
          <w:highlight w:val="none"/>
        </w:rPr>
        <w:t>2666201</w:t>
      </w:r>
    </w:p>
    <w:p w14:paraId="3E80DDD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13.</w:t>
      </w:r>
      <w:r>
        <w:rPr>
          <w:rFonts w:hint="eastAsia" w:ascii="仿宋" w:hAnsi="仿宋" w:eastAsia="仿宋" w:cs="仿宋"/>
          <w:sz w:val="24"/>
          <w:szCs w:val="24"/>
          <w:highlight w:val="none"/>
        </w:rPr>
        <w:t>采购活动相关事宜联系方式如下：</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6"/>
        <w:gridCol w:w="1104"/>
        <w:gridCol w:w="4405"/>
        <w:gridCol w:w="2928"/>
      </w:tblGrid>
      <w:tr w14:paraId="6555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6" w:type="dxa"/>
            <w:tcBorders>
              <w:top w:val="single" w:color="auto" w:sz="4" w:space="0"/>
              <w:left w:val="single" w:color="auto" w:sz="4" w:space="0"/>
              <w:bottom w:val="single" w:color="auto" w:sz="4" w:space="0"/>
              <w:right w:val="single" w:color="auto" w:sz="4" w:space="0"/>
            </w:tcBorders>
            <w:shd w:val="clear" w:color="auto" w:fill="FFFFFF"/>
            <w:vAlign w:val="center"/>
          </w:tcPr>
          <w:p w14:paraId="6F4019D6">
            <w:pPr>
              <w:pageBreakBefore w:val="0"/>
              <w:widowControl w:val="0"/>
              <w:kinsoku/>
              <w:wordWrap/>
              <w:overflowPunct/>
              <w:topLinePunct w:val="0"/>
              <w:autoSpaceDE/>
              <w:autoSpaceDN/>
              <w:bidi w:val="0"/>
              <w:adjustRightInd/>
              <w:snapToGrid/>
              <w:spacing w:beforeLines="25" w:afterLines="25"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工作岗位</w:t>
            </w:r>
          </w:p>
        </w:tc>
        <w:tc>
          <w:tcPr>
            <w:tcW w:w="1104" w:type="dxa"/>
            <w:tcBorders>
              <w:top w:val="single" w:color="auto" w:sz="4" w:space="0"/>
              <w:left w:val="single" w:color="auto" w:sz="4" w:space="0"/>
              <w:bottom w:val="single" w:color="auto" w:sz="4" w:space="0"/>
              <w:right w:val="single" w:color="auto" w:sz="4" w:space="0"/>
            </w:tcBorders>
            <w:shd w:val="clear" w:color="auto" w:fill="FFFFFF"/>
            <w:vAlign w:val="center"/>
          </w:tcPr>
          <w:p w14:paraId="0C8E5FF4">
            <w:pPr>
              <w:pageBreakBefore w:val="0"/>
              <w:widowControl w:val="0"/>
              <w:kinsoku/>
              <w:wordWrap/>
              <w:overflowPunct/>
              <w:topLinePunct w:val="0"/>
              <w:autoSpaceDE/>
              <w:autoSpaceDN/>
              <w:bidi w:val="0"/>
              <w:adjustRightInd/>
              <w:snapToGrid/>
              <w:spacing w:beforeLines="25" w:afterLines="25"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联系人</w:t>
            </w:r>
          </w:p>
        </w:tc>
        <w:tc>
          <w:tcPr>
            <w:tcW w:w="4405" w:type="dxa"/>
            <w:tcBorders>
              <w:top w:val="single" w:color="auto" w:sz="4" w:space="0"/>
              <w:left w:val="single" w:color="auto" w:sz="4" w:space="0"/>
              <w:bottom w:val="single" w:color="auto" w:sz="4" w:space="0"/>
              <w:right w:val="single" w:color="auto" w:sz="4" w:space="0"/>
            </w:tcBorders>
            <w:shd w:val="clear" w:color="auto" w:fill="FFFFFF"/>
            <w:vAlign w:val="center"/>
          </w:tcPr>
          <w:p w14:paraId="1A42F77C">
            <w:pPr>
              <w:pageBreakBefore w:val="0"/>
              <w:widowControl w:val="0"/>
              <w:kinsoku/>
              <w:wordWrap/>
              <w:overflowPunct/>
              <w:topLinePunct w:val="0"/>
              <w:autoSpaceDE/>
              <w:autoSpaceDN/>
              <w:bidi w:val="0"/>
              <w:adjustRightInd/>
              <w:snapToGrid/>
              <w:spacing w:beforeLines="25" w:afterLines="25"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工作职责</w:t>
            </w:r>
          </w:p>
        </w:tc>
        <w:tc>
          <w:tcPr>
            <w:tcW w:w="2928" w:type="dxa"/>
            <w:tcBorders>
              <w:top w:val="single" w:color="auto" w:sz="4" w:space="0"/>
              <w:left w:val="single" w:color="auto" w:sz="4" w:space="0"/>
              <w:bottom w:val="single" w:color="auto" w:sz="4" w:space="0"/>
              <w:right w:val="single" w:color="auto" w:sz="4" w:space="0"/>
            </w:tcBorders>
            <w:shd w:val="clear" w:color="auto" w:fill="FFFFFF"/>
            <w:vAlign w:val="center"/>
          </w:tcPr>
          <w:p w14:paraId="6E9A65DC">
            <w:pPr>
              <w:pageBreakBefore w:val="0"/>
              <w:widowControl w:val="0"/>
              <w:kinsoku/>
              <w:wordWrap/>
              <w:overflowPunct/>
              <w:topLinePunct w:val="0"/>
              <w:autoSpaceDE/>
              <w:autoSpaceDN/>
              <w:bidi w:val="0"/>
              <w:adjustRightInd/>
              <w:snapToGrid/>
              <w:spacing w:beforeLines="25" w:afterLines="25"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联系方式</w:t>
            </w:r>
          </w:p>
        </w:tc>
      </w:tr>
      <w:tr w14:paraId="3B30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6" w:type="dxa"/>
            <w:tcBorders>
              <w:top w:val="single" w:color="auto" w:sz="4" w:space="0"/>
              <w:left w:val="single" w:color="auto" w:sz="4" w:space="0"/>
              <w:bottom w:val="single" w:color="auto" w:sz="4" w:space="0"/>
              <w:right w:val="single" w:color="auto" w:sz="4" w:space="0"/>
            </w:tcBorders>
            <w:shd w:val="clear" w:color="auto" w:fill="FFFFFF"/>
            <w:vAlign w:val="center"/>
          </w:tcPr>
          <w:p w14:paraId="5D1AC099">
            <w:pPr>
              <w:pageBreakBefore w:val="0"/>
              <w:widowControl w:val="0"/>
              <w:kinsoku/>
              <w:wordWrap/>
              <w:overflowPunct/>
              <w:topLinePunct w:val="0"/>
              <w:autoSpaceDE/>
              <w:autoSpaceDN/>
              <w:bidi w:val="0"/>
              <w:adjustRightInd/>
              <w:snapToGrid/>
              <w:spacing w:line="360" w:lineRule="auto"/>
              <w:ind w:left="-80" w:leftChars="-38" w:right="-65" w:rightChars="-31"/>
              <w:jc w:val="center"/>
              <w:textAlignment w:val="auto"/>
              <w:rPr>
                <w:rFonts w:hint="eastAsia" w:ascii="仿宋" w:hAnsi="仿宋" w:eastAsia="仿宋" w:cs="仿宋"/>
                <w:color w:val="000000"/>
                <w:spacing w:val="-10"/>
                <w:sz w:val="24"/>
                <w:szCs w:val="24"/>
                <w:highlight w:val="none"/>
              </w:rPr>
            </w:pPr>
            <w:r>
              <w:rPr>
                <w:rFonts w:hint="eastAsia" w:ascii="仿宋" w:hAnsi="仿宋" w:eastAsia="仿宋" w:cs="仿宋"/>
                <w:color w:val="000000"/>
                <w:spacing w:val="-10"/>
                <w:sz w:val="24"/>
                <w:szCs w:val="24"/>
                <w:highlight w:val="none"/>
              </w:rPr>
              <w:t>项目负责人</w:t>
            </w:r>
          </w:p>
        </w:tc>
        <w:tc>
          <w:tcPr>
            <w:tcW w:w="1104" w:type="dxa"/>
            <w:tcBorders>
              <w:top w:val="single" w:color="auto" w:sz="4" w:space="0"/>
              <w:left w:val="single" w:color="auto" w:sz="4" w:space="0"/>
              <w:bottom w:val="single" w:color="auto" w:sz="4" w:space="0"/>
              <w:right w:val="single" w:color="auto" w:sz="4" w:space="0"/>
            </w:tcBorders>
            <w:shd w:val="clear" w:color="auto" w:fill="FFFFFF"/>
            <w:vAlign w:val="center"/>
          </w:tcPr>
          <w:p w14:paraId="3D88EB18">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陈</w:t>
            </w:r>
            <w:r>
              <w:rPr>
                <w:rFonts w:hint="eastAsia" w:ascii="仿宋" w:hAnsi="仿宋" w:eastAsia="仿宋" w:cs="仿宋"/>
                <w:color w:val="000000"/>
                <w:sz w:val="24"/>
                <w:szCs w:val="24"/>
                <w:highlight w:val="none"/>
                <w:lang w:val="en-US" w:eastAsia="zh-CN"/>
              </w:rPr>
              <w:t>小姐</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陈雅倩</w:t>
            </w:r>
          </w:p>
        </w:tc>
        <w:tc>
          <w:tcPr>
            <w:tcW w:w="4405" w:type="dxa"/>
            <w:tcBorders>
              <w:top w:val="single" w:color="auto" w:sz="4" w:space="0"/>
              <w:left w:val="single" w:color="auto" w:sz="4" w:space="0"/>
              <w:bottom w:val="single" w:color="auto" w:sz="4" w:space="0"/>
              <w:right w:val="single" w:color="auto" w:sz="4" w:space="0"/>
            </w:tcBorders>
            <w:shd w:val="clear" w:color="auto" w:fill="FFFFFF"/>
            <w:vAlign w:val="center"/>
          </w:tcPr>
          <w:p w14:paraId="4EC231DB">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负责</w:t>
            </w:r>
            <w:r>
              <w:rPr>
                <w:rFonts w:hint="eastAsia" w:ascii="仿宋" w:hAnsi="仿宋" w:eastAsia="仿宋" w:cs="仿宋"/>
                <w:color w:val="000000"/>
                <w:sz w:val="24"/>
                <w:szCs w:val="24"/>
                <w:highlight w:val="none"/>
                <w:lang w:val="en-US" w:eastAsia="zh-CN"/>
              </w:rPr>
              <w:t>采购</w:t>
            </w:r>
            <w:r>
              <w:rPr>
                <w:rFonts w:hint="eastAsia" w:ascii="仿宋" w:hAnsi="仿宋" w:eastAsia="仿宋" w:cs="仿宋"/>
                <w:color w:val="000000"/>
                <w:sz w:val="24"/>
                <w:szCs w:val="24"/>
                <w:highlight w:val="none"/>
              </w:rPr>
              <w:t>文件的咨询、答疑等、</w:t>
            </w:r>
            <w:r>
              <w:rPr>
                <w:rFonts w:hint="eastAsia" w:ascii="仿宋" w:hAnsi="仿宋" w:eastAsia="仿宋" w:cs="仿宋"/>
                <w:color w:val="000000"/>
                <w:sz w:val="24"/>
                <w:szCs w:val="24"/>
                <w:highlight w:val="none"/>
                <w:lang w:val="en-US" w:eastAsia="zh-CN"/>
              </w:rPr>
              <w:t>响应</w:t>
            </w:r>
            <w:r>
              <w:rPr>
                <w:rFonts w:hint="eastAsia" w:ascii="仿宋" w:hAnsi="仿宋" w:eastAsia="仿宋" w:cs="仿宋"/>
                <w:color w:val="000000"/>
                <w:sz w:val="24"/>
                <w:szCs w:val="24"/>
                <w:highlight w:val="none"/>
              </w:rPr>
              <w:t>文件邮寄接收人</w:t>
            </w:r>
          </w:p>
        </w:tc>
        <w:tc>
          <w:tcPr>
            <w:tcW w:w="2928" w:type="dxa"/>
            <w:tcBorders>
              <w:top w:val="single" w:color="auto" w:sz="4" w:space="0"/>
              <w:left w:val="single" w:color="auto" w:sz="4" w:space="0"/>
              <w:bottom w:val="single" w:color="auto" w:sz="4" w:space="0"/>
              <w:right w:val="single" w:color="auto" w:sz="4" w:space="0"/>
            </w:tcBorders>
            <w:shd w:val="clear" w:color="auto" w:fill="FFFFFF"/>
            <w:vAlign w:val="center"/>
          </w:tcPr>
          <w:p w14:paraId="3687D7CA">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电话：0592-5990026</w:t>
            </w:r>
          </w:p>
          <w:p w14:paraId="7D825EAA">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邮箱：</w:t>
            </w:r>
            <w:r>
              <w:rPr>
                <w:rFonts w:hint="eastAsia" w:ascii="仿宋" w:hAnsi="仿宋" w:eastAsia="仿宋" w:cs="仿宋"/>
                <w:color w:val="000000"/>
                <w:sz w:val="24"/>
                <w:szCs w:val="24"/>
                <w:highlight w:val="none"/>
                <w:lang w:eastAsia="zh-CN"/>
              </w:rPr>
              <w:t>3194045677@qq.com</w:t>
            </w:r>
          </w:p>
          <w:p w14:paraId="4597790A">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电话：0592-5990718</w:t>
            </w:r>
          </w:p>
          <w:p w14:paraId="42E3BCAF">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邮箱：270241003@qq.com</w:t>
            </w:r>
          </w:p>
        </w:tc>
      </w:tr>
      <w:tr w14:paraId="7C392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6" w:type="dxa"/>
            <w:tcBorders>
              <w:top w:val="single" w:color="auto" w:sz="4" w:space="0"/>
              <w:left w:val="single" w:color="auto" w:sz="4" w:space="0"/>
              <w:bottom w:val="single" w:color="auto" w:sz="4" w:space="0"/>
              <w:right w:val="single" w:color="auto" w:sz="4" w:space="0"/>
            </w:tcBorders>
            <w:shd w:val="clear" w:color="auto" w:fill="FFFFFF"/>
            <w:vAlign w:val="center"/>
          </w:tcPr>
          <w:p w14:paraId="7BBD8C25">
            <w:pPr>
              <w:pageBreakBefore w:val="0"/>
              <w:widowControl w:val="0"/>
              <w:kinsoku/>
              <w:wordWrap/>
              <w:overflowPunct/>
              <w:topLinePunct w:val="0"/>
              <w:autoSpaceDE/>
              <w:autoSpaceDN/>
              <w:bidi w:val="0"/>
              <w:adjustRightInd/>
              <w:snapToGrid/>
              <w:spacing w:line="360" w:lineRule="auto"/>
              <w:ind w:left="-80" w:leftChars="-38" w:right="-65" w:rightChars="-31"/>
              <w:jc w:val="center"/>
              <w:textAlignment w:val="auto"/>
              <w:rPr>
                <w:rFonts w:hint="eastAsia" w:ascii="仿宋" w:hAnsi="仿宋" w:eastAsia="仿宋" w:cs="仿宋"/>
                <w:color w:val="000000"/>
                <w:spacing w:val="-10"/>
                <w:sz w:val="24"/>
                <w:szCs w:val="24"/>
                <w:highlight w:val="none"/>
              </w:rPr>
            </w:pPr>
            <w:r>
              <w:rPr>
                <w:rFonts w:hint="eastAsia" w:ascii="仿宋" w:hAnsi="仿宋" w:eastAsia="仿宋" w:cs="仿宋"/>
                <w:color w:val="000000"/>
                <w:spacing w:val="-10"/>
                <w:sz w:val="24"/>
                <w:szCs w:val="24"/>
                <w:highlight w:val="none"/>
              </w:rPr>
              <w:t>服务台</w:t>
            </w:r>
          </w:p>
        </w:tc>
        <w:tc>
          <w:tcPr>
            <w:tcW w:w="1104" w:type="dxa"/>
            <w:tcBorders>
              <w:top w:val="single" w:color="auto" w:sz="4" w:space="0"/>
              <w:left w:val="single" w:color="auto" w:sz="4" w:space="0"/>
              <w:bottom w:val="single" w:color="auto" w:sz="4" w:space="0"/>
              <w:right w:val="single" w:color="auto" w:sz="4" w:space="0"/>
            </w:tcBorders>
            <w:shd w:val="clear" w:color="auto" w:fill="FFFFFF"/>
            <w:vAlign w:val="center"/>
          </w:tcPr>
          <w:p w14:paraId="31865F40">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刘小姐</w:t>
            </w:r>
          </w:p>
        </w:tc>
        <w:tc>
          <w:tcPr>
            <w:tcW w:w="4405" w:type="dxa"/>
            <w:tcBorders>
              <w:top w:val="single" w:color="auto" w:sz="4" w:space="0"/>
              <w:left w:val="single" w:color="auto" w:sz="4" w:space="0"/>
              <w:bottom w:val="single" w:color="auto" w:sz="4" w:space="0"/>
              <w:right w:val="single" w:color="auto" w:sz="4" w:space="0"/>
            </w:tcBorders>
            <w:shd w:val="clear" w:color="auto" w:fill="FFFFFF"/>
            <w:vAlign w:val="center"/>
          </w:tcPr>
          <w:p w14:paraId="1031C6A2">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pacing w:val="-10"/>
                <w:sz w:val="24"/>
                <w:szCs w:val="24"/>
                <w:highlight w:val="none"/>
              </w:rPr>
            </w:pPr>
            <w:r>
              <w:rPr>
                <w:rFonts w:hint="eastAsia" w:ascii="仿宋" w:hAnsi="仿宋" w:eastAsia="仿宋" w:cs="仿宋"/>
                <w:bCs/>
                <w:color w:val="000000"/>
                <w:spacing w:val="-10"/>
                <w:sz w:val="24"/>
                <w:szCs w:val="24"/>
                <w:highlight w:val="none"/>
                <w:lang w:val="en-US" w:eastAsia="zh-CN"/>
              </w:rPr>
              <w:t>采购</w:t>
            </w:r>
            <w:r>
              <w:rPr>
                <w:rFonts w:hint="eastAsia" w:ascii="仿宋" w:hAnsi="仿宋" w:eastAsia="仿宋" w:cs="仿宋"/>
                <w:bCs/>
                <w:color w:val="000000"/>
                <w:spacing w:val="-10"/>
                <w:sz w:val="24"/>
                <w:szCs w:val="24"/>
                <w:highlight w:val="none"/>
              </w:rPr>
              <w:t>文件发售与邮寄以及</w:t>
            </w:r>
            <w:r>
              <w:rPr>
                <w:rFonts w:hint="eastAsia" w:ascii="仿宋" w:hAnsi="仿宋" w:eastAsia="仿宋" w:cs="仿宋"/>
                <w:bCs/>
                <w:color w:val="000000"/>
                <w:spacing w:val="-10"/>
                <w:sz w:val="24"/>
                <w:szCs w:val="24"/>
                <w:highlight w:val="none"/>
                <w:lang w:val="en-US" w:eastAsia="zh-CN"/>
              </w:rPr>
              <w:t>采购</w:t>
            </w:r>
            <w:r>
              <w:rPr>
                <w:rFonts w:hint="eastAsia" w:ascii="仿宋" w:hAnsi="仿宋" w:eastAsia="仿宋" w:cs="仿宋"/>
                <w:bCs/>
                <w:color w:val="000000"/>
                <w:spacing w:val="-10"/>
                <w:sz w:val="24"/>
                <w:szCs w:val="24"/>
                <w:highlight w:val="none"/>
              </w:rPr>
              <w:t>文件电子版发送等</w:t>
            </w:r>
          </w:p>
        </w:tc>
        <w:tc>
          <w:tcPr>
            <w:tcW w:w="2928" w:type="dxa"/>
            <w:tcBorders>
              <w:top w:val="single" w:color="auto" w:sz="4" w:space="0"/>
              <w:left w:val="single" w:color="auto" w:sz="4" w:space="0"/>
              <w:bottom w:val="single" w:color="auto" w:sz="4" w:space="0"/>
              <w:right w:val="single" w:color="auto" w:sz="4" w:space="0"/>
            </w:tcBorders>
            <w:shd w:val="clear" w:color="auto" w:fill="FFFFFF"/>
            <w:vAlign w:val="center"/>
          </w:tcPr>
          <w:p w14:paraId="439427DA">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电话：0592-5560066</w:t>
            </w:r>
          </w:p>
          <w:p w14:paraId="4A92EDAE">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邮箱：2026886635@qq.com</w:t>
            </w:r>
          </w:p>
        </w:tc>
      </w:tr>
      <w:tr w14:paraId="028ED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6" w:type="dxa"/>
            <w:tcBorders>
              <w:top w:val="single" w:color="auto" w:sz="4" w:space="0"/>
              <w:left w:val="single" w:color="auto" w:sz="4" w:space="0"/>
              <w:bottom w:val="single" w:color="auto" w:sz="4" w:space="0"/>
              <w:right w:val="single" w:color="auto" w:sz="4" w:space="0"/>
            </w:tcBorders>
            <w:shd w:val="clear" w:color="auto" w:fill="FFFFFF"/>
            <w:vAlign w:val="center"/>
          </w:tcPr>
          <w:p w14:paraId="505AD05C">
            <w:pPr>
              <w:pageBreakBefore w:val="0"/>
              <w:widowControl w:val="0"/>
              <w:kinsoku/>
              <w:wordWrap/>
              <w:overflowPunct/>
              <w:topLinePunct w:val="0"/>
              <w:autoSpaceDE/>
              <w:autoSpaceDN/>
              <w:bidi w:val="0"/>
              <w:adjustRightInd/>
              <w:snapToGrid/>
              <w:spacing w:beforeLines="25" w:afterLines="25" w:line="360" w:lineRule="auto"/>
              <w:jc w:val="center"/>
              <w:textAlignment w:val="auto"/>
              <w:rPr>
                <w:rFonts w:hint="eastAsia" w:ascii="仿宋" w:hAnsi="仿宋" w:eastAsia="仿宋" w:cs="仿宋"/>
                <w:color w:val="000000"/>
                <w:spacing w:val="-10"/>
                <w:sz w:val="24"/>
                <w:szCs w:val="24"/>
                <w:highlight w:val="none"/>
              </w:rPr>
            </w:pPr>
            <w:r>
              <w:rPr>
                <w:rFonts w:hint="eastAsia" w:ascii="仿宋" w:hAnsi="仿宋" w:eastAsia="仿宋" w:cs="仿宋"/>
                <w:color w:val="000000"/>
                <w:spacing w:val="-10"/>
                <w:sz w:val="24"/>
                <w:szCs w:val="24"/>
                <w:highlight w:val="none"/>
              </w:rPr>
              <w:t>财务</w:t>
            </w:r>
          </w:p>
        </w:tc>
        <w:tc>
          <w:tcPr>
            <w:tcW w:w="1104" w:type="dxa"/>
            <w:tcBorders>
              <w:top w:val="single" w:color="auto" w:sz="4" w:space="0"/>
              <w:left w:val="single" w:color="auto" w:sz="4" w:space="0"/>
              <w:bottom w:val="single" w:color="auto" w:sz="4" w:space="0"/>
              <w:right w:val="single" w:color="auto" w:sz="4" w:space="0"/>
            </w:tcBorders>
            <w:shd w:val="clear" w:color="auto" w:fill="FFFFFF"/>
            <w:vAlign w:val="center"/>
          </w:tcPr>
          <w:p w14:paraId="3EB8266D">
            <w:pPr>
              <w:pageBreakBefore w:val="0"/>
              <w:widowControl w:val="0"/>
              <w:kinsoku/>
              <w:wordWrap/>
              <w:overflowPunct/>
              <w:topLinePunct w:val="0"/>
              <w:autoSpaceDE/>
              <w:autoSpaceDN/>
              <w:bidi w:val="0"/>
              <w:adjustRightInd/>
              <w:snapToGrid/>
              <w:spacing w:beforeLines="25" w:afterLines="25"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罗小姐</w:t>
            </w:r>
          </w:p>
        </w:tc>
        <w:tc>
          <w:tcPr>
            <w:tcW w:w="4405" w:type="dxa"/>
            <w:tcBorders>
              <w:top w:val="single" w:color="auto" w:sz="4" w:space="0"/>
              <w:left w:val="single" w:color="auto" w:sz="4" w:space="0"/>
              <w:bottom w:val="single" w:color="auto" w:sz="4" w:space="0"/>
              <w:right w:val="single" w:color="auto" w:sz="4" w:space="0"/>
            </w:tcBorders>
            <w:shd w:val="clear" w:color="auto" w:fill="FFFFFF"/>
            <w:vAlign w:val="center"/>
          </w:tcPr>
          <w:p w14:paraId="7BFE5CC1">
            <w:pPr>
              <w:pageBreakBefore w:val="0"/>
              <w:widowControl w:val="0"/>
              <w:kinsoku/>
              <w:wordWrap/>
              <w:overflowPunct/>
              <w:topLinePunct w:val="0"/>
              <w:autoSpaceDE/>
              <w:autoSpaceDN/>
              <w:bidi w:val="0"/>
              <w:adjustRightInd/>
              <w:snapToGrid/>
              <w:spacing w:beforeLines="25" w:afterLines="25"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负责</w:t>
            </w:r>
            <w:r>
              <w:rPr>
                <w:rFonts w:hint="eastAsia" w:ascii="仿宋" w:hAnsi="仿宋" w:eastAsia="仿宋" w:cs="仿宋"/>
                <w:color w:val="000000"/>
                <w:sz w:val="24"/>
                <w:szCs w:val="24"/>
                <w:highlight w:val="none"/>
                <w:lang w:val="en-US" w:eastAsia="zh-CN"/>
              </w:rPr>
              <w:t>磋商</w:t>
            </w:r>
            <w:r>
              <w:rPr>
                <w:rFonts w:hint="eastAsia" w:ascii="仿宋" w:hAnsi="仿宋" w:eastAsia="仿宋" w:cs="仿宋"/>
                <w:color w:val="000000"/>
                <w:sz w:val="24"/>
                <w:szCs w:val="24"/>
                <w:highlight w:val="none"/>
              </w:rPr>
              <w:t>保证金收退、代理服务费收取</w:t>
            </w:r>
          </w:p>
        </w:tc>
        <w:tc>
          <w:tcPr>
            <w:tcW w:w="2928" w:type="dxa"/>
            <w:tcBorders>
              <w:top w:val="single" w:color="auto" w:sz="4" w:space="0"/>
              <w:left w:val="single" w:color="auto" w:sz="4" w:space="0"/>
              <w:bottom w:val="single" w:color="auto" w:sz="4" w:space="0"/>
              <w:right w:val="single" w:color="auto" w:sz="4" w:space="0"/>
            </w:tcBorders>
            <w:shd w:val="clear" w:color="auto" w:fill="FFFFFF"/>
            <w:vAlign w:val="center"/>
          </w:tcPr>
          <w:p w14:paraId="3B03008C">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电话：0592-5990719</w:t>
            </w:r>
          </w:p>
          <w:p w14:paraId="26D843F3">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邮箱：fjjfzb@163.com</w:t>
            </w:r>
          </w:p>
        </w:tc>
      </w:tr>
      <w:tr w14:paraId="733A3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6" w:type="dxa"/>
            <w:tcBorders>
              <w:top w:val="single" w:color="auto" w:sz="4" w:space="0"/>
              <w:left w:val="single" w:color="auto" w:sz="4" w:space="0"/>
              <w:bottom w:val="single" w:color="auto" w:sz="4" w:space="0"/>
              <w:right w:val="single" w:color="auto" w:sz="4" w:space="0"/>
            </w:tcBorders>
            <w:shd w:val="clear" w:color="auto" w:fill="FFFFFF"/>
            <w:vAlign w:val="center"/>
          </w:tcPr>
          <w:p w14:paraId="627DDDD8">
            <w:pPr>
              <w:pageBreakBefore w:val="0"/>
              <w:widowControl w:val="0"/>
              <w:kinsoku/>
              <w:wordWrap/>
              <w:overflowPunct/>
              <w:topLinePunct w:val="0"/>
              <w:autoSpaceDE/>
              <w:autoSpaceDN/>
              <w:bidi w:val="0"/>
              <w:adjustRightInd/>
              <w:snapToGrid/>
              <w:spacing w:beforeLines="25" w:afterLines="25" w:line="360" w:lineRule="auto"/>
              <w:jc w:val="center"/>
              <w:textAlignment w:val="auto"/>
              <w:rPr>
                <w:rFonts w:hint="eastAsia" w:ascii="仿宋" w:hAnsi="仿宋" w:eastAsia="仿宋" w:cs="仿宋"/>
                <w:color w:val="000000"/>
                <w:spacing w:val="-10"/>
                <w:sz w:val="24"/>
                <w:szCs w:val="24"/>
                <w:highlight w:val="none"/>
              </w:rPr>
            </w:pPr>
            <w:r>
              <w:rPr>
                <w:rFonts w:hint="eastAsia" w:ascii="仿宋" w:hAnsi="仿宋" w:eastAsia="仿宋" w:cs="仿宋"/>
                <w:color w:val="000000"/>
                <w:spacing w:val="-10"/>
                <w:sz w:val="24"/>
                <w:szCs w:val="24"/>
                <w:highlight w:val="none"/>
              </w:rPr>
              <w:t>监督</w:t>
            </w:r>
          </w:p>
        </w:tc>
        <w:tc>
          <w:tcPr>
            <w:tcW w:w="1104" w:type="dxa"/>
            <w:tcBorders>
              <w:top w:val="single" w:color="auto" w:sz="4" w:space="0"/>
              <w:left w:val="single" w:color="auto" w:sz="4" w:space="0"/>
              <w:bottom w:val="single" w:color="auto" w:sz="4" w:space="0"/>
              <w:right w:val="single" w:color="auto" w:sz="4" w:space="0"/>
            </w:tcBorders>
            <w:shd w:val="clear" w:color="auto" w:fill="FFFFFF"/>
            <w:vAlign w:val="center"/>
          </w:tcPr>
          <w:p w14:paraId="7362554A">
            <w:pPr>
              <w:pageBreakBefore w:val="0"/>
              <w:widowControl w:val="0"/>
              <w:kinsoku/>
              <w:wordWrap/>
              <w:overflowPunct/>
              <w:topLinePunct w:val="0"/>
              <w:autoSpaceDE/>
              <w:autoSpaceDN/>
              <w:bidi w:val="0"/>
              <w:adjustRightInd/>
              <w:snapToGrid/>
              <w:spacing w:beforeLines="25" w:afterLines="25"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郭艳玲</w:t>
            </w:r>
          </w:p>
        </w:tc>
        <w:tc>
          <w:tcPr>
            <w:tcW w:w="4405" w:type="dxa"/>
            <w:tcBorders>
              <w:top w:val="single" w:color="auto" w:sz="4" w:space="0"/>
              <w:left w:val="single" w:color="auto" w:sz="4" w:space="0"/>
              <w:bottom w:val="single" w:color="auto" w:sz="4" w:space="0"/>
              <w:right w:val="single" w:color="auto" w:sz="4" w:space="0"/>
            </w:tcBorders>
            <w:shd w:val="clear" w:color="auto" w:fill="FFFFFF"/>
            <w:vAlign w:val="center"/>
          </w:tcPr>
          <w:p w14:paraId="26B06252">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Cs/>
                <w:color w:val="000000"/>
                <w:spacing w:val="-10"/>
                <w:sz w:val="24"/>
                <w:szCs w:val="24"/>
                <w:highlight w:val="none"/>
              </w:rPr>
            </w:pPr>
            <w:r>
              <w:rPr>
                <w:rFonts w:hint="eastAsia" w:ascii="仿宋" w:hAnsi="仿宋" w:eastAsia="仿宋" w:cs="仿宋"/>
                <w:color w:val="000000"/>
                <w:sz w:val="24"/>
                <w:szCs w:val="24"/>
                <w:highlight w:val="none"/>
              </w:rPr>
              <w:t>接收质疑、</w:t>
            </w:r>
            <w:r>
              <w:rPr>
                <w:rFonts w:hint="eastAsia" w:ascii="仿宋" w:hAnsi="仿宋" w:eastAsia="仿宋" w:cs="仿宋"/>
                <w:bCs/>
                <w:color w:val="000000"/>
                <w:spacing w:val="-10"/>
                <w:sz w:val="24"/>
                <w:szCs w:val="24"/>
                <w:highlight w:val="none"/>
              </w:rPr>
              <w:t>对项目采购过程中公告发布、</w:t>
            </w:r>
            <w:r>
              <w:rPr>
                <w:rFonts w:hint="eastAsia" w:ascii="仿宋" w:hAnsi="仿宋" w:eastAsia="仿宋" w:cs="仿宋"/>
                <w:bCs/>
                <w:color w:val="000000"/>
                <w:spacing w:val="-10"/>
                <w:sz w:val="24"/>
                <w:szCs w:val="24"/>
                <w:highlight w:val="none"/>
                <w:lang w:val="en-US" w:eastAsia="zh-CN"/>
              </w:rPr>
              <w:t>磋商邀请书发布、采购</w:t>
            </w:r>
            <w:r>
              <w:rPr>
                <w:rFonts w:hint="eastAsia" w:ascii="仿宋" w:hAnsi="仿宋" w:eastAsia="仿宋" w:cs="仿宋"/>
                <w:bCs/>
                <w:color w:val="000000"/>
                <w:spacing w:val="-10"/>
                <w:sz w:val="24"/>
                <w:szCs w:val="24"/>
                <w:highlight w:val="none"/>
              </w:rPr>
              <w:t>文件购买、</w:t>
            </w:r>
            <w:r>
              <w:rPr>
                <w:rFonts w:hint="eastAsia" w:ascii="仿宋" w:hAnsi="仿宋" w:eastAsia="仿宋" w:cs="仿宋"/>
                <w:bCs/>
                <w:color w:val="000000"/>
                <w:spacing w:val="-10"/>
                <w:sz w:val="24"/>
                <w:szCs w:val="24"/>
                <w:highlight w:val="none"/>
                <w:lang w:val="en-US" w:eastAsia="zh-CN"/>
              </w:rPr>
              <w:t>磋商</w:t>
            </w:r>
            <w:r>
              <w:rPr>
                <w:rFonts w:hint="eastAsia" w:ascii="仿宋" w:hAnsi="仿宋" w:eastAsia="仿宋" w:cs="仿宋"/>
                <w:bCs/>
                <w:color w:val="000000"/>
                <w:spacing w:val="-10"/>
                <w:sz w:val="24"/>
                <w:szCs w:val="24"/>
                <w:highlight w:val="none"/>
              </w:rPr>
              <w:t>保证金缴交和退还、服务费收取、</w:t>
            </w:r>
            <w:r>
              <w:rPr>
                <w:rFonts w:hint="eastAsia" w:ascii="仿宋" w:hAnsi="仿宋" w:eastAsia="仿宋" w:cs="仿宋"/>
                <w:bCs/>
                <w:color w:val="000000"/>
                <w:spacing w:val="-10"/>
                <w:sz w:val="24"/>
                <w:szCs w:val="24"/>
                <w:highlight w:val="none"/>
                <w:lang w:val="en-US" w:eastAsia="zh-CN"/>
              </w:rPr>
              <w:t>成交</w:t>
            </w:r>
            <w:r>
              <w:rPr>
                <w:rFonts w:hint="eastAsia" w:ascii="仿宋" w:hAnsi="仿宋" w:eastAsia="仿宋" w:cs="仿宋"/>
                <w:bCs/>
                <w:color w:val="000000"/>
                <w:spacing w:val="-10"/>
                <w:sz w:val="24"/>
                <w:szCs w:val="24"/>
                <w:highlight w:val="none"/>
              </w:rPr>
              <w:t>通知书发放等环节的服务进行监督。</w:t>
            </w:r>
          </w:p>
        </w:tc>
        <w:tc>
          <w:tcPr>
            <w:tcW w:w="2928" w:type="dxa"/>
            <w:tcBorders>
              <w:top w:val="single" w:color="auto" w:sz="4" w:space="0"/>
              <w:left w:val="single" w:color="auto" w:sz="4" w:space="0"/>
              <w:bottom w:val="single" w:color="auto" w:sz="4" w:space="0"/>
              <w:right w:val="single" w:color="auto" w:sz="4" w:space="0"/>
            </w:tcBorders>
            <w:shd w:val="clear" w:color="auto" w:fill="FFFFFF"/>
            <w:vAlign w:val="center"/>
          </w:tcPr>
          <w:p w14:paraId="63FAD056">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电话：0592-5990717</w:t>
            </w:r>
          </w:p>
          <w:p w14:paraId="4D5ADB6E">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邮箱：</w:t>
            </w:r>
            <w:r>
              <w:rPr>
                <w:rFonts w:hint="eastAsia" w:ascii="仿宋" w:hAnsi="仿宋" w:eastAsia="仿宋" w:cs="仿宋"/>
                <w:color w:val="000000"/>
                <w:sz w:val="24"/>
                <w:szCs w:val="24"/>
                <w:highlight w:val="none"/>
                <w:lang w:eastAsia="zh-CN"/>
              </w:rPr>
              <w:t>fjjfzb@163.com</w:t>
            </w:r>
          </w:p>
        </w:tc>
      </w:tr>
      <w:tr w14:paraId="71923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3"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14:paraId="4DB197BA">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公司办公地址：厦门市思明区湖滨南路359号海晟国际大厦24层2401 （福建经发招标代理有限公司） （邮编：361004）</w:t>
            </w:r>
          </w:p>
        </w:tc>
      </w:tr>
    </w:tbl>
    <w:p w14:paraId="412E527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14.提交磋商保证金的银行账户信息</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5"/>
        <w:gridCol w:w="7052"/>
      </w:tblGrid>
      <w:tr w14:paraId="59A5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695" w:type="dxa"/>
            <w:tcBorders>
              <w:top w:val="single" w:color="auto" w:sz="4" w:space="0"/>
              <w:left w:val="single" w:color="auto" w:sz="4" w:space="0"/>
              <w:bottom w:val="single" w:color="auto" w:sz="4" w:space="0"/>
              <w:right w:val="single" w:color="auto" w:sz="4" w:space="0"/>
            </w:tcBorders>
            <w:shd w:val="clear" w:color="auto" w:fill="FFFFFF"/>
            <w:vAlign w:val="center"/>
          </w:tcPr>
          <w:p w14:paraId="59A4F9A0">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费用类型</w:t>
            </w:r>
          </w:p>
          <w:p w14:paraId="12AF21DE">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账户</w:t>
            </w:r>
            <w:r>
              <w:rPr>
                <w:rFonts w:hint="eastAsia" w:ascii="仿宋" w:hAnsi="仿宋" w:eastAsia="仿宋" w:cs="仿宋"/>
                <w:color w:val="000000"/>
                <w:sz w:val="24"/>
                <w:highlight w:val="none"/>
              </w:rPr>
              <w:t>详情</w:t>
            </w:r>
          </w:p>
        </w:tc>
        <w:tc>
          <w:tcPr>
            <w:tcW w:w="7052" w:type="dxa"/>
            <w:tcBorders>
              <w:top w:val="single" w:color="auto" w:sz="4" w:space="0"/>
              <w:left w:val="single" w:color="auto" w:sz="4" w:space="0"/>
              <w:bottom w:val="single" w:color="auto" w:sz="4" w:space="0"/>
              <w:right w:val="single" w:color="auto" w:sz="4" w:space="0"/>
            </w:tcBorders>
            <w:shd w:val="clear" w:color="auto" w:fill="FFFFFF"/>
            <w:vAlign w:val="center"/>
          </w:tcPr>
          <w:p w14:paraId="71A3793E">
            <w:pPr>
              <w:pageBreakBefore w:val="0"/>
              <w:widowControl w:val="0"/>
              <w:kinsoku/>
              <w:wordWrap/>
              <w:overflowPunct/>
              <w:topLinePunct w:val="0"/>
              <w:autoSpaceDE/>
              <w:autoSpaceDN/>
              <w:bidi w:val="0"/>
              <w:adjustRightInd/>
              <w:snapToGrid/>
              <w:spacing w:before="78" w:beforeLines="25" w:after="78" w:afterLines="25" w:line="360" w:lineRule="auto"/>
              <w:jc w:val="center"/>
              <w:textAlignment w:val="auto"/>
              <w:rPr>
                <w:rFonts w:hint="eastAsia" w:ascii="仿宋" w:hAnsi="仿宋" w:eastAsia="仿宋" w:cs="仿宋"/>
                <w:color w:val="000000"/>
                <w:sz w:val="24"/>
                <w:highlight w:val="none"/>
              </w:rPr>
            </w:pPr>
            <w:r>
              <w:rPr>
                <w:rFonts w:hint="eastAsia" w:ascii="仿宋" w:hAnsi="仿宋" w:eastAsia="仿宋" w:cs="仿宋"/>
                <w:kern w:val="0"/>
                <w:sz w:val="24"/>
                <w:highlight w:val="none"/>
              </w:rPr>
              <w:t>采购文件</w:t>
            </w:r>
            <w:r>
              <w:rPr>
                <w:rFonts w:hint="eastAsia" w:ascii="仿宋" w:hAnsi="仿宋" w:eastAsia="仿宋" w:cs="仿宋"/>
                <w:sz w:val="24"/>
                <w:szCs w:val="24"/>
                <w:highlight w:val="none"/>
                <w:lang w:eastAsia="zh-CN"/>
              </w:rPr>
              <w:t>费</w:t>
            </w:r>
            <w:r>
              <w:rPr>
                <w:rFonts w:hint="eastAsia" w:ascii="仿宋" w:hAnsi="仿宋" w:eastAsia="仿宋" w:cs="仿宋"/>
                <w:color w:val="000000"/>
                <w:sz w:val="24"/>
                <w:highlight w:val="none"/>
              </w:rPr>
              <w:t>、</w:t>
            </w:r>
            <w:r>
              <w:rPr>
                <w:rFonts w:hint="eastAsia" w:ascii="仿宋" w:hAnsi="仿宋" w:eastAsia="仿宋" w:cs="仿宋"/>
                <w:bCs/>
                <w:color w:val="000000"/>
                <w:sz w:val="24"/>
                <w:highlight w:val="none"/>
                <w:lang w:eastAsia="zh-CN"/>
              </w:rPr>
              <w:t>磋商</w:t>
            </w:r>
            <w:r>
              <w:rPr>
                <w:rFonts w:hint="eastAsia" w:ascii="仿宋" w:hAnsi="仿宋" w:eastAsia="仿宋" w:cs="仿宋"/>
                <w:color w:val="000000"/>
                <w:sz w:val="24"/>
                <w:highlight w:val="none"/>
              </w:rPr>
              <w:t>保证金及采购代理服务费</w:t>
            </w:r>
          </w:p>
        </w:tc>
      </w:tr>
      <w:tr w14:paraId="541D7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5" w:type="dxa"/>
            <w:tcBorders>
              <w:top w:val="single" w:color="auto" w:sz="4" w:space="0"/>
              <w:left w:val="single" w:color="auto" w:sz="4" w:space="0"/>
              <w:bottom w:val="single" w:color="auto" w:sz="4" w:space="0"/>
              <w:right w:val="single" w:color="auto" w:sz="4" w:space="0"/>
            </w:tcBorders>
            <w:shd w:val="clear" w:color="auto" w:fill="FFFFFF"/>
            <w:vAlign w:val="center"/>
          </w:tcPr>
          <w:p w14:paraId="256F66A2">
            <w:pPr>
              <w:pageBreakBefore w:val="0"/>
              <w:widowControl w:val="0"/>
              <w:kinsoku/>
              <w:wordWrap/>
              <w:overflowPunct/>
              <w:topLinePunct w:val="0"/>
              <w:autoSpaceDE/>
              <w:autoSpaceDN/>
              <w:bidi w:val="0"/>
              <w:adjustRightInd/>
              <w:snapToGrid/>
              <w:spacing w:before="78" w:beforeLines="25" w:after="78" w:afterLines="25" w:line="360" w:lineRule="auto"/>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收款人全称</w:t>
            </w:r>
          </w:p>
        </w:tc>
        <w:tc>
          <w:tcPr>
            <w:tcW w:w="7052" w:type="dxa"/>
            <w:tcBorders>
              <w:top w:val="single" w:color="auto" w:sz="4" w:space="0"/>
              <w:left w:val="single" w:color="auto" w:sz="4" w:space="0"/>
              <w:bottom w:val="single" w:color="auto" w:sz="4" w:space="0"/>
              <w:right w:val="single" w:color="auto" w:sz="4" w:space="0"/>
            </w:tcBorders>
            <w:shd w:val="clear" w:color="auto" w:fill="FFFFFF"/>
            <w:vAlign w:val="center"/>
          </w:tcPr>
          <w:p w14:paraId="4C41AB35">
            <w:pPr>
              <w:pageBreakBefore w:val="0"/>
              <w:widowControl w:val="0"/>
              <w:kinsoku/>
              <w:wordWrap/>
              <w:overflowPunct/>
              <w:topLinePunct w:val="0"/>
              <w:autoSpaceDE/>
              <w:autoSpaceDN/>
              <w:bidi w:val="0"/>
              <w:adjustRightInd/>
              <w:snapToGrid/>
              <w:spacing w:before="78" w:beforeLines="25" w:after="78" w:afterLines="25" w:line="360" w:lineRule="auto"/>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福建经发招标代理有限公司</w:t>
            </w:r>
          </w:p>
        </w:tc>
      </w:tr>
      <w:tr w14:paraId="14D6A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5" w:type="dxa"/>
            <w:tcBorders>
              <w:top w:val="single" w:color="auto" w:sz="4" w:space="0"/>
              <w:left w:val="single" w:color="auto" w:sz="4" w:space="0"/>
              <w:bottom w:val="single" w:color="auto" w:sz="4" w:space="0"/>
              <w:right w:val="single" w:color="auto" w:sz="4" w:space="0"/>
            </w:tcBorders>
            <w:shd w:val="clear" w:color="auto" w:fill="FFFFFF"/>
            <w:vAlign w:val="center"/>
          </w:tcPr>
          <w:p w14:paraId="2244073D">
            <w:pPr>
              <w:pageBreakBefore w:val="0"/>
              <w:widowControl w:val="0"/>
              <w:kinsoku/>
              <w:wordWrap/>
              <w:overflowPunct/>
              <w:topLinePunct w:val="0"/>
              <w:autoSpaceDE/>
              <w:autoSpaceDN/>
              <w:bidi w:val="0"/>
              <w:adjustRightInd/>
              <w:snapToGrid/>
              <w:spacing w:before="78" w:beforeLines="25" w:after="78" w:afterLines="25" w:line="360" w:lineRule="auto"/>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开户银行</w:t>
            </w:r>
          </w:p>
        </w:tc>
        <w:tc>
          <w:tcPr>
            <w:tcW w:w="7052" w:type="dxa"/>
            <w:tcBorders>
              <w:top w:val="single" w:color="auto" w:sz="4" w:space="0"/>
              <w:left w:val="single" w:color="auto" w:sz="4" w:space="0"/>
              <w:bottom w:val="single" w:color="auto" w:sz="4" w:space="0"/>
              <w:right w:val="single" w:color="auto" w:sz="4" w:space="0"/>
            </w:tcBorders>
            <w:shd w:val="clear" w:color="auto" w:fill="FFFFFF"/>
            <w:vAlign w:val="center"/>
          </w:tcPr>
          <w:p w14:paraId="392CF123">
            <w:pPr>
              <w:pageBreakBefore w:val="0"/>
              <w:widowControl w:val="0"/>
              <w:kinsoku/>
              <w:wordWrap/>
              <w:overflowPunct/>
              <w:topLinePunct w:val="0"/>
              <w:autoSpaceDE/>
              <w:autoSpaceDN/>
              <w:bidi w:val="0"/>
              <w:adjustRightInd/>
              <w:snapToGrid/>
              <w:spacing w:before="78" w:beforeLines="25" w:after="78" w:afterLines="25" w:line="360" w:lineRule="auto"/>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中国农业银行股份有限公司厦门莲前支行</w:t>
            </w:r>
          </w:p>
        </w:tc>
      </w:tr>
      <w:tr w14:paraId="0BA22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5" w:type="dxa"/>
            <w:tcBorders>
              <w:top w:val="single" w:color="auto" w:sz="4" w:space="0"/>
              <w:left w:val="single" w:color="auto" w:sz="4" w:space="0"/>
              <w:bottom w:val="single" w:color="auto" w:sz="4" w:space="0"/>
              <w:right w:val="single" w:color="auto" w:sz="4" w:space="0"/>
            </w:tcBorders>
            <w:shd w:val="clear" w:color="auto" w:fill="FFFFFF"/>
            <w:vAlign w:val="center"/>
          </w:tcPr>
          <w:p w14:paraId="292454C4">
            <w:pPr>
              <w:pageBreakBefore w:val="0"/>
              <w:widowControl w:val="0"/>
              <w:kinsoku/>
              <w:wordWrap/>
              <w:overflowPunct/>
              <w:topLinePunct w:val="0"/>
              <w:autoSpaceDE/>
              <w:autoSpaceDN/>
              <w:bidi w:val="0"/>
              <w:adjustRightInd/>
              <w:snapToGrid/>
              <w:spacing w:before="78" w:beforeLines="25" w:after="78" w:afterLines="25" w:line="360" w:lineRule="auto"/>
              <w:jc w:val="center"/>
              <w:textAlignment w:val="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账号</w:t>
            </w:r>
          </w:p>
        </w:tc>
        <w:tc>
          <w:tcPr>
            <w:tcW w:w="7052" w:type="dxa"/>
            <w:tcBorders>
              <w:top w:val="single" w:color="auto" w:sz="4" w:space="0"/>
              <w:left w:val="single" w:color="auto" w:sz="4" w:space="0"/>
              <w:bottom w:val="single" w:color="auto" w:sz="4" w:space="0"/>
              <w:right w:val="single" w:color="auto" w:sz="4" w:space="0"/>
            </w:tcBorders>
            <w:shd w:val="clear" w:color="auto" w:fill="FFFFFF"/>
            <w:vAlign w:val="center"/>
          </w:tcPr>
          <w:p w14:paraId="147880FC">
            <w:pPr>
              <w:pageBreakBefore w:val="0"/>
              <w:widowControl w:val="0"/>
              <w:kinsoku/>
              <w:wordWrap/>
              <w:overflowPunct/>
              <w:topLinePunct w:val="0"/>
              <w:autoSpaceDE/>
              <w:autoSpaceDN/>
              <w:bidi w:val="0"/>
              <w:adjustRightInd/>
              <w:snapToGrid/>
              <w:spacing w:before="78" w:beforeLines="25" w:after="78" w:afterLines="25" w:line="360" w:lineRule="auto"/>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4038 6001 0400 33344</w:t>
            </w:r>
          </w:p>
        </w:tc>
      </w:tr>
    </w:tbl>
    <w:p w14:paraId="3B674A7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仿宋" w:hAnsi="仿宋" w:eastAsia="仿宋" w:cs="宋体"/>
          <w:kern w:val="0"/>
          <w:sz w:val="24"/>
          <w:szCs w:val="24"/>
          <w:highlight w:val="none"/>
        </w:rPr>
        <w:sectPr>
          <w:pgSz w:w="11906" w:h="16838"/>
          <w:pgMar w:top="1440" w:right="1080" w:bottom="1440" w:left="1080" w:header="851" w:footer="992" w:gutter="0"/>
          <w:cols w:space="0" w:num="1"/>
          <w:docGrid w:type="lines" w:linePitch="312" w:charSpace="0"/>
        </w:sectPr>
      </w:pPr>
    </w:p>
    <w:p w14:paraId="146F2DB0">
      <w:pPr>
        <w:pStyle w:val="4"/>
        <w:pageBreakBefore w:val="0"/>
        <w:widowControl w:val="0"/>
        <w:kinsoku/>
        <w:wordWrap/>
        <w:overflowPunct/>
        <w:topLinePunct w:val="0"/>
        <w:autoSpaceDE/>
        <w:autoSpaceDN/>
        <w:bidi w:val="0"/>
        <w:adjustRightInd/>
        <w:snapToGrid/>
        <w:spacing w:before="312" w:after="312" w:line="360" w:lineRule="auto"/>
        <w:textAlignment w:val="auto"/>
        <w:rPr>
          <w:rFonts w:hint="eastAsia" w:ascii="仿宋" w:hAnsi="仿宋" w:eastAsia="仿宋" w:cs="仿宋"/>
          <w:highlight w:val="none"/>
        </w:rPr>
      </w:pPr>
      <w:bookmarkStart w:id="1" w:name="_Toc30503"/>
      <w:r>
        <w:rPr>
          <w:rFonts w:hint="eastAsia" w:ascii="仿宋" w:hAnsi="仿宋" w:eastAsia="仿宋" w:cs="仿宋"/>
          <w:highlight w:val="none"/>
        </w:rPr>
        <w:t>第二章  竞争性磋商须知</w:t>
      </w:r>
      <w:bookmarkEnd w:id="1"/>
    </w:p>
    <w:p w14:paraId="45EFB36C">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2" w:name="_Toc29688"/>
      <w:r>
        <w:rPr>
          <w:rFonts w:hint="eastAsia" w:ascii="仿宋" w:hAnsi="仿宋" w:eastAsia="仿宋" w:cs="仿宋"/>
          <w:b/>
          <w:bCs/>
          <w:sz w:val="28"/>
          <w:szCs w:val="32"/>
          <w:highlight w:val="none"/>
        </w:rPr>
        <w:t>第1节  竞争性磋商须知前附表</w:t>
      </w:r>
      <w:bookmarkEnd w:id="2"/>
    </w:p>
    <w:p w14:paraId="520A246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竞争性磋商须知前附表是对竞争性磋商须知的补充和细化，二者如有矛盾，以前附表中的要求和规定为准</w:t>
      </w:r>
    </w:p>
    <w:tbl>
      <w:tblPr>
        <w:tblStyle w:val="19"/>
        <w:tblW w:w="9739"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737"/>
        <w:gridCol w:w="964"/>
        <w:gridCol w:w="8038"/>
      </w:tblGrid>
      <w:tr w14:paraId="0B250A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 w:hRule="atLeast"/>
          <w:jc w:val="center"/>
        </w:trPr>
        <w:tc>
          <w:tcPr>
            <w:tcW w:w="737" w:type="dxa"/>
            <w:vAlign w:val="center"/>
          </w:tcPr>
          <w:p w14:paraId="7E36DAF9">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项号</w:t>
            </w:r>
          </w:p>
        </w:tc>
        <w:tc>
          <w:tcPr>
            <w:tcW w:w="964" w:type="dxa"/>
            <w:vAlign w:val="center"/>
          </w:tcPr>
          <w:p w14:paraId="1F64CFA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条款号</w:t>
            </w:r>
          </w:p>
        </w:tc>
        <w:tc>
          <w:tcPr>
            <w:tcW w:w="8038" w:type="dxa"/>
            <w:vAlign w:val="center"/>
          </w:tcPr>
          <w:p w14:paraId="6A0029B0">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编列内容</w:t>
            </w:r>
          </w:p>
        </w:tc>
      </w:tr>
      <w:tr w14:paraId="2C8860E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 w:hRule="atLeast"/>
          <w:jc w:val="center"/>
        </w:trPr>
        <w:tc>
          <w:tcPr>
            <w:tcW w:w="737" w:type="dxa"/>
            <w:vAlign w:val="center"/>
          </w:tcPr>
          <w:p w14:paraId="23351404">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w:t>
            </w:r>
          </w:p>
        </w:tc>
        <w:tc>
          <w:tcPr>
            <w:tcW w:w="964" w:type="dxa"/>
            <w:vAlign w:val="center"/>
          </w:tcPr>
          <w:p w14:paraId="6DFEFD41">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3.2.1</w:t>
            </w:r>
          </w:p>
        </w:tc>
        <w:tc>
          <w:tcPr>
            <w:tcW w:w="8038" w:type="dxa"/>
            <w:vAlign w:val="center"/>
          </w:tcPr>
          <w:p w14:paraId="071D9971">
            <w:pPr>
              <w:pStyle w:val="24"/>
              <w:spacing w:line="360" w:lineRule="auto"/>
              <w:ind w:firstLine="0" w:firstLineChars="0"/>
              <w:rPr>
                <w:rFonts w:hint="eastAsia" w:ascii="仿宋" w:hAnsi="仿宋" w:eastAsia="仿宋" w:cs="仿宋"/>
                <w:kern w:val="0"/>
                <w:sz w:val="24"/>
                <w:highlight w:val="none"/>
              </w:rPr>
            </w:pPr>
            <w:r>
              <w:rPr>
                <w:rFonts w:hint="eastAsia" w:ascii="仿宋" w:hAnsi="仿宋" w:eastAsia="仿宋" w:cs="仿宋"/>
                <w:b/>
                <w:bCs/>
                <w:kern w:val="0"/>
                <w:sz w:val="24"/>
                <w:highlight w:val="none"/>
              </w:rPr>
              <w:t>供应商的资格要求</w:t>
            </w:r>
            <w:r>
              <w:rPr>
                <w:rFonts w:hint="eastAsia" w:ascii="仿宋" w:hAnsi="仿宋" w:eastAsia="仿宋" w:cs="仿宋"/>
                <w:kern w:val="0"/>
                <w:sz w:val="24"/>
                <w:highlight w:val="none"/>
              </w:rPr>
              <w:t>：见磋商文件第一章“采购公告/采购邀请书”</w:t>
            </w:r>
          </w:p>
          <w:p w14:paraId="4E685AF8">
            <w:pPr>
              <w:pStyle w:val="24"/>
              <w:spacing w:line="360" w:lineRule="auto"/>
              <w:ind w:firstLine="0" w:firstLineChars="0"/>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rPr>
              <w:t>资格证明文件资料要求：</w:t>
            </w:r>
          </w:p>
          <w:p w14:paraId="3DD22EF1">
            <w:pPr>
              <w:pStyle w:val="24"/>
              <w:spacing w:line="360" w:lineRule="auto"/>
              <w:ind w:firstLine="0" w:firstLineChars="0"/>
              <w:rPr>
                <w:rFonts w:hint="eastAsia" w:ascii="仿宋" w:hAnsi="仿宋" w:eastAsia="仿宋" w:cs="仿宋"/>
                <w:kern w:val="0"/>
                <w:sz w:val="24"/>
                <w:highlight w:val="none"/>
              </w:rPr>
            </w:pPr>
            <w:r>
              <w:rPr>
                <w:rFonts w:hint="eastAsia" w:ascii="仿宋" w:hAnsi="仿宋" w:eastAsia="仿宋" w:cs="仿宋"/>
                <w:kern w:val="0"/>
                <w:sz w:val="24"/>
                <w:highlight w:val="none"/>
              </w:rPr>
              <w:t>采购包1：</w:t>
            </w:r>
          </w:p>
          <w:tbl>
            <w:tblPr>
              <w:tblStyle w:val="19"/>
              <w:tblW w:w="5000"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939"/>
              <w:gridCol w:w="5873"/>
            </w:tblGrid>
            <w:tr w14:paraId="2306AC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1" w:type="pct"/>
                  <w:vAlign w:val="center"/>
                </w:tcPr>
                <w:p w14:paraId="01840DEB">
                  <w:pPr>
                    <w:pStyle w:val="24"/>
                    <w:spacing w:line="360" w:lineRule="auto"/>
                    <w:ind w:firstLine="0" w:firstLineChars="0"/>
                    <w:jc w:val="center"/>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明细</w:t>
                  </w:r>
                </w:p>
              </w:tc>
              <w:tc>
                <w:tcPr>
                  <w:tcW w:w="3758" w:type="pct"/>
                  <w:vAlign w:val="center"/>
                </w:tcPr>
                <w:p w14:paraId="0F9041BA">
                  <w:pPr>
                    <w:pStyle w:val="24"/>
                    <w:spacing w:line="360" w:lineRule="auto"/>
                    <w:ind w:firstLine="0" w:firstLineChars="0"/>
                    <w:jc w:val="center"/>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描述</w:t>
                  </w:r>
                </w:p>
              </w:tc>
            </w:tr>
            <w:tr w14:paraId="4241BA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1" w:type="pct"/>
                  <w:shd w:val="clear" w:color="auto" w:fill="auto"/>
                  <w:vAlign w:val="center"/>
                </w:tcPr>
                <w:p w14:paraId="3FE87EFA">
                  <w:pPr>
                    <w:pStyle w:val="30"/>
                    <w:spacing w:line="360" w:lineRule="auto"/>
                    <w:jc w:val="center"/>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磋商响应声明</w:t>
                  </w:r>
                </w:p>
              </w:tc>
              <w:tc>
                <w:tcPr>
                  <w:tcW w:w="3758" w:type="pct"/>
                  <w:shd w:val="clear" w:color="auto" w:fill="auto"/>
                  <w:vAlign w:val="top"/>
                </w:tcPr>
                <w:p w14:paraId="4E545952">
                  <w:pPr>
                    <w:pStyle w:val="30"/>
                    <w:spacing w:line="360" w:lineRule="auto"/>
                    <w:jc w:val="left"/>
                    <w:rPr>
                      <w:rFonts w:hint="eastAsia" w:ascii="仿宋" w:hAnsi="仿宋" w:eastAsia="仿宋" w:cs="仿宋"/>
                      <w:sz w:val="24"/>
                      <w:szCs w:val="24"/>
                      <w:highlight w:val="none"/>
                      <w:lang w:val="en-US" w:eastAsia="zh-Hans"/>
                    </w:rPr>
                  </w:pPr>
                  <w:r>
                    <w:rPr>
                      <w:rFonts w:ascii="仿宋" w:hAnsi="仿宋" w:eastAsia="仿宋" w:cs="仿宋"/>
                      <w:sz w:val="24"/>
                      <w:szCs w:val="24"/>
                      <w:highlight w:val="none"/>
                    </w:rPr>
                    <w:t>详见声明函</w:t>
                  </w:r>
                </w:p>
              </w:tc>
            </w:tr>
            <w:tr w14:paraId="576E4F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1" w:type="pct"/>
                  <w:shd w:val="clear" w:color="auto" w:fill="auto"/>
                  <w:vAlign w:val="center"/>
                </w:tcPr>
                <w:p w14:paraId="7E3FB07A">
                  <w:pPr>
                    <w:pStyle w:val="30"/>
                    <w:spacing w:line="360" w:lineRule="auto"/>
                    <w:jc w:val="center"/>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单位负责人授权书</w:t>
                  </w:r>
                </w:p>
              </w:tc>
              <w:tc>
                <w:tcPr>
                  <w:tcW w:w="3758" w:type="pct"/>
                  <w:shd w:val="clear" w:color="auto" w:fill="auto"/>
                  <w:vAlign w:val="top"/>
                </w:tcPr>
                <w:p w14:paraId="26B0364D">
                  <w:pPr>
                    <w:pStyle w:val="30"/>
                    <w:spacing w:line="360" w:lineRule="auto"/>
                    <w:jc w:val="left"/>
                    <w:rPr>
                      <w:rFonts w:hint="eastAsia" w:ascii="仿宋" w:hAnsi="仿宋" w:eastAsia="仿宋" w:cs="仿宋"/>
                      <w:sz w:val="24"/>
                      <w:szCs w:val="24"/>
                      <w:highlight w:val="none"/>
                      <w:lang w:val="en-US" w:eastAsia="zh-CN"/>
                    </w:rPr>
                  </w:pPr>
                  <w:r>
                    <w:rPr>
                      <w:rFonts w:hint="default" w:ascii="仿宋" w:hAnsi="仿宋" w:eastAsia="仿宋" w:cs="宋体"/>
                      <w:kern w:val="0"/>
                      <w:sz w:val="24"/>
                      <w:szCs w:val="24"/>
                      <w:highlight w:val="none"/>
                      <w:lang w:val="en-US" w:eastAsia="zh-CN" w:bidi="ar-SA"/>
                    </w:rPr>
                    <w:t>①供应商（自然人除外）：若供应商代表为单位授权的委托代理人，应提供本授权书；若供应商代表为单位负责人，应在此项下提交其身份证正反面复印件，可不提供本授权书。②供应商为自然人的，可不填写本授权书。</w:t>
                  </w:r>
                </w:p>
              </w:tc>
            </w:tr>
            <w:tr w14:paraId="4B7F67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1" w:type="pct"/>
                  <w:shd w:val="clear" w:color="auto" w:fill="auto"/>
                  <w:vAlign w:val="center"/>
                </w:tcPr>
                <w:p w14:paraId="6ED54EF7">
                  <w:pPr>
                    <w:pStyle w:val="30"/>
                    <w:spacing w:line="360" w:lineRule="auto"/>
                    <w:jc w:val="center"/>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营业执照等证明文件</w:t>
                  </w:r>
                </w:p>
              </w:tc>
              <w:tc>
                <w:tcPr>
                  <w:tcW w:w="3758" w:type="pct"/>
                  <w:shd w:val="clear" w:color="auto" w:fill="auto"/>
                  <w:vAlign w:val="top"/>
                </w:tcPr>
                <w:p w14:paraId="36CD816D">
                  <w:pPr>
                    <w:pStyle w:val="30"/>
                    <w:spacing w:line="360" w:lineRule="auto"/>
                    <w:jc w:val="left"/>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①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tc>
            </w:tr>
            <w:tr w14:paraId="1C0DB9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1" w:type="pct"/>
                  <w:shd w:val="clear" w:color="auto" w:fill="auto"/>
                  <w:vAlign w:val="center"/>
                </w:tcPr>
                <w:p w14:paraId="1D01AB5E">
                  <w:pPr>
                    <w:pStyle w:val="30"/>
                    <w:spacing w:line="360" w:lineRule="auto"/>
                    <w:jc w:val="center"/>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提供财务状况报告（财务报告或资信证明）</w:t>
                  </w:r>
                </w:p>
              </w:tc>
              <w:tc>
                <w:tcPr>
                  <w:tcW w:w="3758" w:type="pct"/>
                  <w:shd w:val="clear" w:color="auto" w:fill="auto"/>
                  <w:vAlign w:val="top"/>
                </w:tcPr>
                <w:p w14:paraId="01B2A799">
                  <w:pPr>
                    <w:pStyle w:val="30"/>
                    <w:spacing w:line="360" w:lineRule="auto"/>
                    <w:jc w:val="left"/>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①供应商提供的财务报告复印件（成立年限按照提交响应文件截止时间推算）应符合下列规定：a.成立年限满1年及以上的供应商，提供经审计的上一年度的年度财务报告。b.成立年限满半年但不足1年的供应商，提供该半年度中任一季度的季度财务报告或该半年度的半年度财务报告。c.无法按照以上a、b项规定提供财务报告复印件的供应商（包括但不限于：成立年限满1年及以上的供应商、成立年限满半年但不足1年的供应商、成立年限不足半年的供应商），应选择提供资信证明复印件。</w:t>
                  </w:r>
                </w:p>
              </w:tc>
            </w:tr>
            <w:tr w14:paraId="6206D1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1" w:type="pct"/>
                  <w:shd w:val="clear" w:color="auto" w:fill="auto"/>
                  <w:vAlign w:val="center"/>
                </w:tcPr>
                <w:p w14:paraId="7FFCAAB9">
                  <w:pPr>
                    <w:pStyle w:val="30"/>
                    <w:spacing w:line="360" w:lineRule="auto"/>
                    <w:jc w:val="center"/>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依法缴纳税收证明材料</w:t>
                  </w:r>
                </w:p>
              </w:tc>
              <w:tc>
                <w:tcPr>
                  <w:tcW w:w="3758" w:type="pct"/>
                  <w:shd w:val="clear" w:color="auto" w:fill="auto"/>
                  <w:vAlign w:val="top"/>
                </w:tcPr>
                <w:p w14:paraId="41841C1C">
                  <w:pPr>
                    <w:pStyle w:val="30"/>
                    <w:spacing w:line="360" w:lineRule="auto"/>
                    <w:jc w:val="left"/>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①供应商提供的税收缴纳凭据复印件应符合下列规定： a.提交响应文件截止时间前（不含提交响应文件截止时间的当月）已依法缴纳税收的供应商，提供提交响应文件截止时间前六个月（不含提交响应文件截止时间的当月）中任一月份的税收缴纳凭据复印件。 b.提交响应文件截止时间的当月成立的供应商</w:t>
                  </w:r>
                  <w:r>
                    <w:rPr>
                      <w:rFonts w:hint="eastAsia" w:ascii="仿宋" w:hAnsi="仿宋" w:eastAsia="仿宋" w:cs="仿宋"/>
                      <w:sz w:val="24"/>
                      <w:szCs w:val="24"/>
                      <w:highlight w:val="none"/>
                      <w:lang w:eastAsia="zh-CN"/>
                    </w:rPr>
                    <w:t>，</w:t>
                  </w:r>
                  <w:r>
                    <w:rPr>
                      <w:rFonts w:ascii="仿宋" w:hAnsi="仿宋" w:eastAsia="仿宋" w:cs="仿宋"/>
                      <w:sz w:val="24"/>
                      <w:szCs w:val="24"/>
                      <w:highlight w:val="none"/>
                    </w:rPr>
                    <w:t>视同满足本项资格条件要求。 c.若为依法免税范围的供应商，提供依法免税证明材料的，视同满足本项资格条件要求。</w:t>
                  </w:r>
                </w:p>
              </w:tc>
            </w:tr>
            <w:tr w14:paraId="468E6E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1" w:type="pct"/>
                  <w:shd w:val="clear" w:color="auto" w:fill="auto"/>
                  <w:vAlign w:val="center"/>
                </w:tcPr>
                <w:p w14:paraId="72D6AFE5">
                  <w:pPr>
                    <w:pStyle w:val="30"/>
                    <w:spacing w:line="360" w:lineRule="auto"/>
                    <w:jc w:val="center"/>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依法缴纳社会保障资金证明材料</w:t>
                  </w:r>
                </w:p>
              </w:tc>
              <w:tc>
                <w:tcPr>
                  <w:tcW w:w="3758" w:type="pct"/>
                  <w:shd w:val="clear" w:color="auto" w:fill="auto"/>
                  <w:vAlign w:val="top"/>
                </w:tcPr>
                <w:p w14:paraId="581D7216">
                  <w:pPr>
                    <w:pStyle w:val="30"/>
                    <w:spacing w:line="360" w:lineRule="auto"/>
                    <w:jc w:val="left"/>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①供应商提供的社会保障资金缴纳凭据复印件应符合下列规定： a.提交响应文件截止时间前（不含提交响应文件截止时间的当月）已依法缴纳社会保障资金的供应商，提供提交响应文件截止时间前六个月（不含提交响应文件截止时间的当月）中任一月份的社会保障资金缴纳凭据复印件。 b.提交响应文件截止时间的当月成立的供应商，视同满足本项资格条件要求。 c.若为依法不需要缴纳或暂缓缴纳社会保障资金的供应商，提供依法不需要缴纳或暂缓缴纳社会保障资金证明材料的，视同满足本项资格条件要求。</w:t>
                  </w:r>
                </w:p>
              </w:tc>
            </w:tr>
            <w:tr w14:paraId="3E3B3B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1" w:type="pct"/>
                  <w:shd w:val="clear" w:color="auto" w:fill="auto"/>
                  <w:vAlign w:val="center"/>
                </w:tcPr>
                <w:p w14:paraId="43B09625">
                  <w:pPr>
                    <w:pStyle w:val="30"/>
                    <w:spacing w:line="360" w:lineRule="auto"/>
                    <w:jc w:val="center"/>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具备履行合同所必需设备和专业技术能力的声明函</w:t>
                  </w:r>
                </w:p>
              </w:tc>
              <w:tc>
                <w:tcPr>
                  <w:tcW w:w="3758" w:type="pct"/>
                  <w:shd w:val="clear" w:color="auto" w:fill="auto"/>
                  <w:vAlign w:val="top"/>
                </w:tcPr>
                <w:p w14:paraId="68768945">
                  <w:pPr>
                    <w:pStyle w:val="30"/>
                    <w:spacing w:line="36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w:t>
                  </w:r>
                  <w:r>
                    <w:rPr>
                      <w:rFonts w:ascii="仿宋" w:hAnsi="仿宋" w:eastAsia="仿宋" w:cs="仿宋"/>
                      <w:sz w:val="24"/>
                      <w:szCs w:val="24"/>
                      <w:highlight w:val="none"/>
                    </w:rPr>
                    <w:t>提供“具备履行合同所必需设备和专业技术能力的声明函”</w:t>
                  </w:r>
                  <w:r>
                    <w:rPr>
                      <w:rFonts w:hint="eastAsia" w:ascii="仿宋" w:hAnsi="仿宋" w:eastAsia="仿宋" w:cs="仿宋"/>
                      <w:sz w:val="24"/>
                      <w:szCs w:val="24"/>
                      <w:highlight w:val="none"/>
                      <w:lang w:eastAsia="zh-CN"/>
                    </w:rPr>
                    <w:t>。</w:t>
                  </w:r>
                </w:p>
              </w:tc>
            </w:tr>
            <w:tr w14:paraId="2FFBBD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1" w:type="pct"/>
                  <w:shd w:val="clear" w:color="auto" w:fill="auto"/>
                  <w:vAlign w:val="center"/>
                </w:tcPr>
                <w:p w14:paraId="1849FA60">
                  <w:pPr>
                    <w:pStyle w:val="30"/>
                    <w:spacing w:line="360" w:lineRule="auto"/>
                    <w:jc w:val="center"/>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参加采购活动前三年内在经营活动中没有重大违法记录的声明</w:t>
                  </w:r>
                </w:p>
              </w:tc>
              <w:tc>
                <w:tcPr>
                  <w:tcW w:w="3758" w:type="pct"/>
                  <w:shd w:val="clear" w:color="auto" w:fill="auto"/>
                  <w:vAlign w:val="top"/>
                </w:tcPr>
                <w:p w14:paraId="3794141D">
                  <w:pPr>
                    <w:pStyle w:val="30"/>
                    <w:spacing w:line="360" w:lineRule="auto"/>
                    <w:jc w:val="left"/>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①重大违法记录：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5BF5175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1" w:type="pct"/>
                  <w:shd w:val="clear" w:color="auto" w:fill="auto"/>
                  <w:vAlign w:val="center"/>
                </w:tcPr>
                <w:p w14:paraId="33391DAE">
                  <w:pPr>
                    <w:pStyle w:val="30"/>
                    <w:spacing w:line="360" w:lineRule="auto"/>
                    <w:jc w:val="center"/>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中小企业声明函（以资格条件落实中小企业扶持政策时适用 ）</w:t>
                  </w:r>
                </w:p>
              </w:tc>
              <w:tc>
                <w:tcPr>
                  <w:tcW w:w="3758" w:type="pct"/>
                  <w:shd w:val="clear" w:color="auto" w:fill="auto"/>
                  <w:vAlign w:val="top"/>
                </w:tcPr>
                <w:p w14:paraId="0CE0E831">
                  <w:pPr>
                    <w:pStyle w:val="30"/>
                    <w:spacing w:line="360" w:lineRule="auto"/>
                    <w:jc w:val="left"/>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①供应商应认真对照工信部联企业</w:t>
                  </w:r>
                  <w:r>
                    <w:rPr>
                      <w:rFonts w:hint="eastAsia" w:ascii="仿宋" w:hAnsi="仿宋" w:eastAsia="仿宋" w:cs="仿宋"/>
                      <w:sz w:val="24"/>
                      <w:szCs w:val="24"/>
                      <w:highlight w:val="none"/>
                      <w:lang w:eastAsia="zh-CN"/>
                    </w:rPr>
                    <w:t>〔2011〕300号</w:t>
                  </w:r>
                  <w:r>
                    <w:rPr>
                      <w:rFonts w:ascii="仿宋" w:hAnsi="仿宋" w:eastAsia="仿宋" w:cs="仿宋"/>
                      <w:sz w:val="24"/>
                      <w:szCs w:val="24"/>
                      <w:highlight w:val="none"/>
                    </w:rPr>
                    <w:t>《工业和信息化部、国家统计局、国家发展和改革委员会、财政部关于印发中小企业划型标准规定的通知》规定的划分标准，并按照国统字[2017]213号《关于印发&lt;统计上大中小微型企业划分办法</w:t>
                  </w:r>
                  <w:r>
                    <w:rPr>
                      <w:rFonts w:hint="eastAsia" w:ascii="仿宋" w:hAnsi="仿宋" w:eastAsia="仿宋" w:cs="仿宋"/>
                      <w:sz w:val="24"/>
                      <w:szCs w:val="24"/>
                      <w:highlight w:val="none"/>
                      <w:lang w:eastAsia="zh-CN"/>
                    </w:rPr>
                    <w:t>（</w:t>
                  </w:r>
                  <w:r>
                    <w:rPr>
                      <w:rFonts w:ascii="仿宋" w:hAnsi="仿宋" w:eastAsia="仿宋" w:cs="仿宋"/>
                      <w:sz w:val="24"/>
                      <w:szCs w:val="24"/>
                      <w:highlight w:val="none"/>
                    </w:rPr>
                    <w:t>2017</w:t>
                  </w:r>
                  <w:r>
                    <w:rPr>
                      <w:rFonts w:hint="eastAsia" w:ascii="仿宋" w:hAnsi="仿宋" w:eastAsia="仿宋" w:cs="仿宋"/>
                      <w:sz w:val="24"/>
                      <w:szCs w:val="24"/>
                      <w:highlight w:val="none"/>
                      <w:lang w:eastAsia="zh-CN"/>
                    </w:rPr>
                    <w:t>）</w:t>
                  </w:r>
                  <w:r>
                    <w:rPr>
                      <w:rFonts w:ascii="仿宋" w:hAnsi="仿宋" w:eastAsia="仿宋" w:cs="仿宋"/>
                      <w:sz w:val="24"/>
                      <w:szCs w:val="24"/>
                      <w:highlight w:val="none"/>
                    </w:rPr>
                    <w:t>&gt;的通知》规定准确划分企业类型。本项目采购标的对应的中小企业划分标准所属行业详见特定资格条件。②供应商为监狱企业的，可不填写本声明函，根据其提供的由省级以上监狱管理局、戒毒管理局（含新疆生产建设兵团）出具的属于监狱企业的证明文件进行认定，监狱企业视同小型、微型企业。③供应商为残疾人福利性单位的，可不填写本声明函，根据其提供的《残疾人福利性单位声明函》进行认定，残疾人福利性单位视同小型、微型企业。④以联合体形式落实中小企业预留份额时，还需提供《联合体协议》。⑤以合同分包形式落实中小企业预留份额时，还需提供《分包意向协议》。</w:t>
                  </w:r>
                </w:p>
              </w:tc>
            </w:tr>
            <w:tr w14:paraId="74064B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241" w:type="pct"/>
                  <w:shd w:val="clear" w:color="auto" w:fill="auto"/>
                  <w:vAlign w:val="center"/>
                </w:tcPr>
                <w:p w14:paraId="5CD7AF8A">
                  <w:pPr>
                    <w:pStyle w:val="30"/>
                    <w:spacing w:line="360" w:lineRule="auto"/>
                    <w:jc w:val="center"/>
                    <w:rPr>
                      <w:rFonts w:hint="eastAsia" w:ascii="仿宋" w:hAnsi="仿宋" w:eastAsia="仿宋" w:cs="仿宋"/>
                      <w:sz w:val="24"/>
                      <w:szCs w:val="24"/>
                      <w:highlight w:val="none"/>
                      <w:lang w:val="en-US" w:eastAsia="zh-CN"/>
                    </w:rPr>
                  </w:pPr>
                  <w:r>
                    <w:rPr>
                      <w:rFonts w:ascii="仿宋" w:hAnsi="仿宋" w:eastAsia="仿宋" w:cs="仿宋"/>
                      <w:sz w:val="24"/>
                      <w:szCs w:val="24"/>
                      <w:highlight w:val="none"/>
                    </w:rPr>
                    <w:t>信用记录查询结果</w:t>
                  </w:r>
                </w:p>
              </w:tc>
              <w:tc>
                <w:tcPr>
                  <w:tcW w:w="3758" w:type="pct"/>
                  <w:shd w:val="clear" w:color="auto" w:fill="auto"/>
                  <w:vAlign w:val="top"/>
                </w:tcPr>
                <w:p w14:paraId="3192A5F0">
                  <w:pPr>
                    <w:pStyle w:val="30"/>
                    <w:spacing w:line="360" w:lineRule="auto"/>
                    <w:jc w:val="left"/>
                    <w:rPr>
                      <w:rFonts w:hint="eastAsia" w:ascii="仿宋" w:hAnsi="仿宋" w:eastAsia="仿宋" w:cs="仿宋"/>
                      <w:sz w:val="24"/>
                      <w:szCs w:val="24"/>
                      <w:highlight w:val="none"/>
                      <w:lang w:val="en-US" w:eastAsia="zh-CN"/>
                    </w:rPr>
                  </w:pPr>
                  <w:r>
                    <w:rPr>
                      <w:rFonts w:hint="eastAsia" w:ascii="仿宋" w:hAnsi="仿宋" w:eastAsia="仿宋" w:cs="仿宋"/>
                      <w:kern w:val="0"/>
                      <w:sz w:val="24"/>
                      <w:szCs w:val="24"/>
                      <w:highlight w:val="none"/>
                      <w:lang w:eastAsia="zh-CN"/>
                    </w:rPr>
                    <w:t>1、信用信息查询</w:t>
                  </w:r>
                  <w:r>
                    <w:rPr>
                      <w:rFonts w:hint="eastAsia" w:ascii="仿宋" w:hAnsi="仿宋" w:eastAsia="仿宋" w:cs="仿宋"/>
                      <w:kern w:val="0"/>
                      <w:sz w:val="24"/>
                      <w:szCs w:val="24"/>
                      <w:highlight w:val="none"/>
                      <w:lang w:val="en-US" w:eastAsia="zh-CN"/>
                    </w:rPr>
                    <w:t>渠道</w:t>
                  </w:r>
                  <w:r>
                    <w:rPr>
                      <w:rFonts w:hint="eastAsia" w:ascii="仿宋" w:hAnsi="仿宋" w:eastAsia="仿宋" w:cs="仿宋"/>
                      <w:kern w:val="0"/>
                      <w:sz w:val="24"/>
                      <w:szCs w:val="24"/>
                      <w:highlight w:val="none"/>
                      <w:lang w:eastAsia="zh-CN"/>
                    </w:rPr>
                    <w:t>：通过“信用中国”网站（www.creditchina.gov.cn）、中国政府采购网（www.ccgp.gov.cn）、“信用厦门”网站（credit.xm.gov.cn）查询所有供应商的信用信息。 2、截止时点：查询供应商截止</w:t>
                  </w:r>
                  <w:r>
                    <w:rPr>
                      <w:rFonts w:hint="eastAsia" w:ascii="仿宋" w:hAnsi="仿宋" w:eastAsia="仿宋" w:cs="仿宋"/>
                      <w:kern w:val="0"/>
                      <w:sz w:val="24"/>
                      <w:szCs w:val="24"/>
                      <w:highlight w:val="none"/>
                      <w:lang w:val="en-US" w:eastAsia="zh-CN"/>
                    </w:rPr>
                    <w:t>评审</w:t>
                  </w:r>
                  <w:r>
                    <w:rPr>
                      <w:rFonts w:hint="eastAsia" w:ascii="仿宋" w:hAnsi="仿宋" w:eastAsia="仿宋" w:cs="仿宋"/>
                      <w:kern w:val="0"/>
                      <w:sz w:val="24"/>
                      <w:szCs w:val="24"/>
                      <w:highlight w:val="none"/>
                      <w:lang w:eastAsia="zh-CN"/>
                    </w:rPr>
                    <w:t>当天前三年内的信用信息。 3、查询记录和证据留存方式：将查询结果网页打印后随磋商文件一并存档。 4、信用信息的使用规则：（1）查询结果显示供应商存在不良信用记录（包含列入失信被执行人、重大税收违法失信主体、政府采购严重违法失信行为记录名单及其他不符合《中华人民共和国政府采购法》第二十二条规定条件）的，其资格审查不合格。（2）因查询渠道网站原因导致查无供应商信息的，不认定供应商资格审查不合格；评审结束后，通过其他渠道发现供应商存在不良信用记录的，不认定为资格审查错误，将依照有关规定进行调查处理。（3）联合体成员存在不良信用记录的，视同联合体存在不良信用记录，联合体资格审查不合格。 5、供应商无需提供信用信息查询结果。若供应商自行提供查询结果的，仍以</w:t>
                  </w:r>
                  <w:r>
                    <w:rPr>
                      <w:rFonts w:hint="eastAsia" w:ascii="仿宋" w:hAnsi="仿宋" w:eastAsia="仿宋" w:cs="仿宋"/>
                      <w:kern w:val="0"/>
                      <w:sz w:val="24"/>
                      <w:szCs w:val="24"/>
                      <w:highlight w:val="none"/>
                      <w:lang w:val="en-US" w:eastAsia="zh-CN"/>
                    </w:rPr>
                    <w:t>评审</w:t>
                  </w:r>
                  <w:r>
                    <w:rPr>
                      <w:rFonts w:hint="eastAsia" w:ascii="仿宋" w:hAnsi="仿宋" w:eastAsia="仿宋" w:cs="仿宋"/>
                      <w:kern w:val="0"/>
                      <w:sz w:val="24"/>
                      <w:szCs w:val="24"/>
                      <w:highlight w:val="none"/>
                      <w:lang w:eastAsia="zh-CN"/>
                    </w:rPr>
                    <w:t>当天查询结果为准。</w:t>
                  </w:r>
                </w:p>
              </w:tc>
            </w:tr>
          </w:tbl>
          <w:p w14:paraId="1AD26E39">
            <w:pPr>
              <w:pStyle w:val="24"/>
              <w:spacing w:line="360" w:lineRule="auto"/>
              <w:ind w:left="0" w:leftChars="0" w:firstLine="0" w:firstLineChars="0"/>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特定资格条件：</w:t>
            </w:r>
          </w:p>
          <w:p w14:paraId="70D46238">
            <w:pPr>
              <w:pStyle w:val="24"/>
              <w:spacing w:line="360" w:lineRule="auto"/>
              <w:rPr>
                <w:rFonts w:hint="eastAsia" w:ascii="仿宋" w:hAnsi="仿宋" w:eastAsia="仿宋" w:cs="仿宋"/>
                <w:b/>
                <w:bCs/>
                <w:kern w:val="0"/>
                <w:sz w:val="24"/>
                <w:highlight w:val="none"/>
                <w:shd w:val="clear" w:color="auto" w:fill="FFFFFF"/>
              </w:rPr>
            </w:pPr>
            <w:r>
              <w:rPr>
                <w:rFonts w:hint="eastAsia" w:ascii="仿宋" w:hAnsi="仿宋" w:eastAsia="仿宋" w:cs="仿宋"/>
                <w:b/>
                <w:bCs/>
                <w:kern w:val="0"/>
                <w:sz w:val="24"/>
                <w:highlight w:val="none"/>
                <w:shd w:val="clear" w:color="auto" w:fill="FFFFFF"/>
              </w:rPr>
              <w:t>包：1</w:t>
            </w:r>
          </w:p>
          <w:tbl>
            <w:tblPr>
              <w:tblStyle w:val="19"/>
              <w:tblpPr w:leftFromText="180" w:rightFromText="180" w:vertAnchor="text" w:horzAnchor="page" w:tblpX="124" w:tblpY="70"/>
              <w:tblOverlap w:val="never"/>
              <w:tblW w:w="5000"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933"/>
              <w:gridCol w:w="5879"/>
            </w:tblGrid>
            <w:tr w14:paraId="5A0695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37" w:type="pct"/>
                  <w:vAlign w:val="center"/>
                </w:tcPr>
                <w:p w14:paraId="6E8C8F18">
                  <w:pPr>
                    <w:pStyle w:val="2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明细</w:t>
                  </w:r>
                </w:p>
              </w:tc>
              <w:tc>
                <w:tcPr>
                  <w:tcW w:w="3762" w:type="pct"/>
                  <w:vAlign w:val="center"/>
                </w:tcPr>
                <w:p w14:paraId="354D5A2E">
                  <w:pPr>
                    <w:pStyle w:val="2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描述</w:t>
                  </w:r>
                </w:p>
              </w:tc>
            </w:tr>
            <w:tr w14:paraId="3E627D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37" w:type="pct"/>
                  <w:shd w:val="clear" w:color="auto" w:fill="auto"/>
                  <w:vAlign w:val="center"/>
                </w:tcPr>
                <w:p w14:paraId="06FF7D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eastAsia" w:ascii="仿宋" w:hAnsi="仿宋" w:eastAsia="仿宋" w:cs="仿宋"/>
                      <w:bCs/>
                      <w:kern w:val="0"/>
                      <w:sz w:val="24"/>
                      <w:szCs w:val="24"/>
                      <w:highlight w:val="none"/>
                      <w:lang w:val="en-US" w:eastAsia="zh-CN" w:bidi="ar-SA"/>
                    </w:rPr>
                  </w:pPr>
                  <w:r>
                    <w:rPr>
                      <w:rFonts w:hint="eastAsia" w:ascii="仿宋" w:hAnsi="仿宋" w:eastAsia="仿宋" w:cs="仿宋"/>
                      <w:kern w:val="0"/>
                      <w:sz w:val="24"/>
                      <w:szCs w:val="24"/>
                      <w:highlight w:val="none"/>
                    </w:rPr>
                    <w:t>“资格承诺函”要求</w:t>
                  </w:r>
                </w:p>
              </w:tc>
              <w:tc>
                <w:tcPr>
                  <w:tcW w:w="3762" w:type="pct"/>
                  <w:shd w:val="clear" w:color="auto" w:fill="auto"/>
                  <w:vAlign w:val="center"/>
                </w:tcPr>
                <w:p w14:paraId="201D6A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textAlignment w:val="auto"/>
                    <w:rPr>
                      <w:rFonts w:hint="eastAsia" w:ascii="仿宋" w:hAnsi="仿宋" w:eastAsia="仿宋" w:cs="仿宋"/>
                      <w:bCs/>
                      <w:kern w:val="0"/>
                      <w:sz w:val="24"/>
                      <w:szCs w:val="24"/>
                      <w:highlight w:val="none"/>
                      <w:lang w:val="en-US" w:eastAsia="zh-CN" w:bidi="ar-SA"/>
                    </w:rPr>
                  </w:pPr>
                  <w:r>
                    <w:rPr>
                      <w:rFonts w:hint="eastAsia" w:ascii="仿宋" w:hAnsi="仿宋" w:eastAsia="仿宋" w:cs="仿宋"/>
                      <w:kern w:val="0"/>
                      <w:sz w:val="24"/>
                      <w:szCs w:val="24"/>
                      <w:highlight w:val="none"/>
                    </w:rPr>
                    <w:t>根据</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福建省财政厅关于印发推行政府采购供应商资格承诺制指导意见的通知</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闽财购〔2024〕6号</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bidi="ar-SA"/>
                    </w:rPr>
                    <w:t>本采购包允许供应商采用资格承诺制。采用资格承诺制的供应商，应当根据</w:t>
                  </w:r>
                  <w:r>
                    <w:rPr>
                      <w:rFonts w:hint="eastAsia" w:ascii="仿宋" w:hAnsi="仿宋" w:eastAsia="仿宋" w:cs="仿宋"/>
                      <w:kern w:val="0"/>
                      <w:sz w:val="24"/>
                      <w:szCs w:val="24"/>
                      <w:highlight w:val="none"/>
                      <w:lang w:val="en-US" w:eastAsia="zh-CN"/>
                    </w:rPr>
                    <w:t>第五章首次响应</w:t>
                  </w:r>
                  <w:r>
                    <w:rPr>
                      <w:rFonts w:hint="eastAsia" w:ascii="仿宋" w:hAnsi="仿宋" w:eastAsia="仿宋" w:cs="仿宋"/>
                      <w:kern w:val="0"/>
                      <w:sz w:val="24"/>
                      <w:szCs w:val="24"/>
                      <w:highlight w:val="none"/>
                    </w:rPr>
                    <w:t>文件格式</w:t>
                  </w:r>
                  <w:r>
                    <w:rPr>
                      <w:rFonts w:hint="eastAsia" w:ascii="仿宋" w:hAnsi="仿宋" w:eastAsia="仿宋" w:cs="仿宋"/>
                      <w:kern w:val="0"/>
                      <w:sz w:val="24"/>
                      <w:szCs w:val="24"/>
                      <w:highlight w:val="none"/>
                      <w:lang w:val="en-US" w:eastAsia="zh-CN"/>
                    </w:rPr>
                    <w:t>要求</w:t>
                  </w:r>
                  <w:r>
                    <w:rPr>
                      <w:rFonts w:hint="eastAsia" w:ascii="仿宋" w:hAnsi="仿宋" w:eastAsia="仿宋" w:cs="仿宋"/>
                      <w:kern w:val="0"/>
                      <w:sz w:val="24"/>
                      <w:szCs w:val="24"/>
                      <w:highlight w:val="none"/>
                      <w:lang w:val="en-US" w:eastAsia="zh-CN" w:bidi="ar-SA"/>
                    </w:rPr>
                    <w:t>提供资格承诺函，资格承诺函不符合采购文件要求的，视为未按照采购文件规定提交供应商的</w:t>
                  </w:r>
                  <w:r>
                    <w:rPr>
                      <w:rFonts w:hint="eastAsia" w:ascii="仿宋" w:hAnsi="仿宋" w:eastAsia="仿宋" w:cs="仿宋"/>
                      <w:kern w:val="0"/>
                      <w:sz w:val="24"/>
                      <w:highlight w:val="none"/>
                      <w:lang w:val="en-US" w:eastAsia="zh-CN"/>
                    </w:rPr>
                    <w:t>资格证明文件</w:t>
                  </w:r>
                  <w:r>
                    <w:rPr>
                      <w:rFonts w:hint="eastAsia" w:ascii="仿宋" w:hAnsi="仿宋" w:eastAsia="仿宋" w:cs="仿宋"/>
                      <w:kern w:val="0"/>
                      <w:sz w:val="24"/>
                      <w:szCs w:val="24"/>
                      <w:highlight w:val="none"/>
                      <w:lang w:val="en-US" w:eastAsia="zh-CN" w:bidi="ar-SA"/>
                    </w:rPr>
                    <w:t>，按资格审查不合格处理。采购项目有特殊资格要求的，供应商还应按要求提供相应的证明材料。</w:t>
                  </w:r>
                </w:p>
              </w:tc>
            </w:tr>
            <w:tr w14:paraId="226BE2A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shd w:val="clear" w:color="auto" w:fill="auto"/>
                  <w:vAlign w:val="center"/>
                </w:tcPr>
                <w:p w14:paraId="152AA3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落实政府采购政策的证明材料（专门面向中小企业采购）</w:t>
                  </w:r>
                </w:p>
              </w:tc>
              <w:tc>
                <w:tcPr>
                  <w:tcW w:w="0" w:type="auto"/>
                  <w:shd w:val="clear" w:color="auto" w:fill="auto"/>
                  <w:vAlign w:val="center"/>
                </w:tcPr>
                <w:p w14:paraId="4A2A108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本项目为专门面向中小企业采购的项目，根据《财政部、工业和信息化部关于印发政府采购促进中小企业发展管理办法的通知》（财库〔2020〕46号）等相关文件的规定</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w:t>
                  </w:r>
                  <w:r>
                    <w:rPr>
                      <w:rFonts w:hint="eastAsia" w:ascii="仿宋" w:hAnsi="仿宋" w:eastAsia="仿宋" w:cs="仿宋"/>
                      <w:color w:val="auto"/>
                      <w:kern w:val="0"/>
                      <w:sz w:val="24"/>
                      <w:szCs w:val="24"/>
                      <w:highlight w:val="none"/>
                      <w:lang w:val="en-US" w:eastAsia="zh-CN"/>
                    </w:rPr>
                    <w:t xml:space="preserve">按照磋商文件《第二章 </w:t>
                  </w:r>
                  <w:r>
                    <w:rPr>
                      <w:rFonts w:hint="eastAsia" w:ascii="仿宋" w:hAnsi="仿宋" w:eastAsia="仿宋" w:cs="仿宋"/>
                      <w:b w:val="0"/>
                      <w:bCs w:val="0"/>
                      <w:color w:val="auto"/>
                      <w:kern w:val="0"/>
                      <w:sz w:val="24"/>
                      <w:szCs w:val="24"/>
                      <w:highlight w:val="none"/>
                    </w:rPr>
                    <w:t>采购标的清单</w:t>
                  </w:r>
                  <w:r>
                    <w:rPr>
                      <w:rFonts w:hint="eastAsia" w:ascii="仿宋" w:hAnsi="仿宋" w:eastAsia="仿宋" w:cs="仿宋"/>
                      <w:b w:val="0"/>
                      <w:bCs w:val="0"/>
                      <w:color w:val="auto"/>
                      <w:kern w:val="0"/>
                      <w:sz w:val="24"/>
                      <w:szCs w:val="24"/>
                      <w:highlight w:val="none"/>
                      <w:lang w:eastAsia="zh-CN"/>
                    </w:rPr>
                    <w:t>》</w:t>
                  </w:r>
                  <w:r>
                    <w:rPr>
                      <w:rFonts w:hint="eastAsia" w:ascii="仿宋" w:hAnsi="仿宋" w:eastAsia="仿宋" w:cs="仿宋"/>
                      <w:b w:val="0"/>
                      <w:bCs w:val="0"/>
                      <w:color w:val="auto"/>
                      <w:kern w:val="0"/>
                      <w:sz w:val="24"/>
                      <w:szCs w:val="24"/>
                      <w:highlight w:val="none"/>
                      <w:lang w:val="en-US" w:eastAsia="zh-CN"/>
                    </w:rPr>
                    <w:t>中内容及要求提供</w:t>
                  </w:r>
                  <w:r>
                    <w:rPr>
                      <w:rFonts w:hint="eastAsia" w:ascii="仿宋" w:hAnsi="仿宋" w:eastAsia="仿宋" w:cs="仿宋"/>
                      <w:color w:val="auto"/>
                      <w:kern w:val="0"/>
                      <w:sz w:val="24"/>
                      <w:szCs w:val="24"/>
                      <w:highlight w:val="none"/>
                    </w:rPr>
                    <w:t>中小企业声明函。</w:t>
                  </w:r>
                </w:p>
              </w:tc>
            </w:tr>
            <w:tr w14:paraId="20BF3D0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shd w:val="clear" w:color="auto" w:fill="auto"/>
                  <w:vAlign w:val="center"/>
                </w:tcPr>
                <w:p w14:paraId="193EC731">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宋体"/>
                      <w:kern w:val="0"/>
                      <w:sz w:val="24"/>
                      <w:szCs w:val="24"/>
                      <w:highlight w:val="none"/>
                      <w:lang w:val="en-US" w:eastAsia="zh-CN" w:bidi="ar-SA"/>
                    </w:rPr>
                  </w:pPr>
                  <w:r>
                    <w:rPr>
                      <w:rFonts w:hint="eastAsia" w:ascii="仿宋" w:hAnsi="仿宋" w:eastAsia="仿宋" w:cs="宋体"/>
                      <w:kern w:val="0"/>
                      <w:sz w:val="24"/>
                      <w:highlight w:val="none"/>
                      <w:lang w:val="en-US" w:eastAsia="zh-CN"/>
                    </w:rPr>
                    <w:t>特定资质要求</w:t>
                  </w:r>
                </w:p>
              </w:tc>
              <w:tc>
                <w:tcPr>
                  <w:tcW w:w="0" w:type="auto"/>
                  <w:shd w:val="clear" w:color="auto" w:fill="auto"/>
                  <w:vAlign w:val="center"/>
                </w:tcPr>
                <w:p w14:paraId="232218F7">
                  <w:pPr>
                    <w:keepNext w:val="0"/>
                    <w:keepLines w:val="0"/>
                    <w:widowControl w:val="0"/>
                    <w:suppressLineNumbers w:val="0"/>
                    <w:spacing w:before="0" w:beforeAutospacing="0" w:after="0" w:afterAutospacing="0" w:line="360" w:lineRule="auto"/>
                    <w:ind w:left="0" w:leftChars="0" w:right="0" w:rightChars="0"/>
                    <w:rPr>
                      <w:rFonts w:hint="eastAsia" w:asciiTheme="minorHAnsi" w:hAnsiTheme="minorHAnsi" w:eastAsiaTheme="minorEastAsia" w:cstheme="minorBidi"/>
                      <w:kern w:val="2"/>
                      <w:sz w:val="21"/>
                      <w:szCs w:val="24"/>
                      <w:highlight w:val="none"/>
                      <w:lang w:val="en-US" w:eastAsia="zh-CN" w:bidi="ar-SA"/>
                    </w:rPr>
                  </w:pPr>
                  <w:r>
                    <w:rPr>
                      <w:rFonts w:hint="eastAsia" w:ascii="仿宋" w:hAnsi="仿宋" w:eastAsia="仿宋" w:cs="宋体"/>
                      <w:b w:val="0"/>
                      <w:bCs w:val="0"/>
                      <w:kern w:val="0"/>
                      <w:sz w:val="24"/>
                      <w:szCs w:val="24"/>
                      <w:highlight w:val="none"/>
                    </w:rPr>
                    <w:t>供应商应具有建设主管部门颁发的</w:t>
                  </w:r>
                  <w:r>
                    <w:rPr>
                      <w:rFonts w:hint="eastAsia" w:ascii="仿宋" w:hAnsi="仿宋" w:eastAsia="仿宋" w:cs="宋体"/>
                      <w:b w:val="0"/>
                      <w:bCs w:val="0"/>
                      <w:kern w:val="0"/>
                      <w:sz w:val="24"/>
                      <w:szCs w:val="24"/>
                      <w:highlight w:val="none"/>
                      <w:lang w:val="en-US" w:eastAsia="zh-CN"/>
                    </w:rPr>
                    <w:t>市政公用工程施工总承包三级及以上资质或建筑机电安装工程专业承包三级及以上资质</w:t>
                  </w:r>
                  <w:r>
                    <w:rPr>
                      <w:rFonts w:hint="eastAsia" w:ascii="仿宋" w:hAnsi="仿宋" w:eastAsia="仿宋" w:cs="宋体"/>
                      <w:b w:val="0"/>
                      <w:bCs w:val="0"/>
                      <w:kern w:val="0"/>
                      <w:sz w:val="24"/>
                      <w:szCs w:val="24"/>
                      <w:highlight w:val="none"/>
                      <w:lang w:eastAsia="zh-CN"/>
                    </w:rPr>
                    <w:t>，</w:t>
                  </w:r>
                  <w:r>
                    <w:rPr>
                      <w:rFonts w:hint="eastAsia" w:ascii="仿宋" w:hAnsi="仿宋" w:eastAsia="仿宋" w:cs="宋体"/>
                      <w:b w:val="0"/>
                      <w:bCs w:val="0"/>
                      <w:kern w:val="0"/>
                      <w:sz w:val="24"/>
                      <w:highlight w:val="none"/>
                    </w:rPr>
                    <w:t>在</w:t>
                  </w:r>
                  <w:r>
                    <w:rPr>
                      <w:rFonts w:hint="eastAsia" w:ascii="仿宋" w:hAnsi="仿宋" w:eastAsia="仿宋" w:cs="宋体"/>
                      <w:b w:val="0"/>
                      <w:bCs w:val="0"/>
                      <w:kern w:val="0"/>
                      <w:sz w:val="24"/>
                      <w:highlight w:val="none"/>
                      <w:lang w:val="en-US" w:eastAsia="zh-CN"/>
                    </w:rPr>
                    <w:t>响应</w:t>
                  </w:r>
                  <w:r>
                    <w:rPr>
                      <w:rFonts w:hint="eastAsia" w:ascii="仿宋" w:hAnsi="仿宋" w:eastAsia="仿宋" w:cs="宋体"/>
                      <w:b w:val="0"/>
                      <w:bCs w:val="0"/>
                      <w:kern w:val="0"/>
                      <w:sz w:val="24"/>
                      <w:highlight w:val="none"/>
                    </w:rPr>
                    <w:t>文件中提供资质证书有效复印件</w:t>
                  </w:r>
                  <w:r>
                    <w:rPr>
                      <w:rFonts w:hint="eastAsia" w:ascii="仿宋" w:hAnsi="仿宋" w:eastAsia="仿宋" w:cs="宋体"/>
                      <w:b w:val="0"/>
                      <w:bCs w:val="0"/>
                      <w:kern w:val="0"/>
                      <w:sz w:val="24"/>
                      <w:szCs w:val="24"/>
                      <w:highlight w:val="none"/>
                    </w:rPr>
                    <w:t>。</w:t>
                  </w:r>
                </w:p>
              </w:tc>
            </w:tr>
            <w:tr w14:paraId="65B4CE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shd w:val="clear" w:color="auto" w:fill="auto"/>
                  <w:vAlign w:val="center"/>
                </w:tcPr>
                <w:p w14:paraId="055EF63D">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宋体"/>
                      <w:kern w:val="0"/>
                      <w:sz w:val="24"/>
                      <w:szCs w:val="24"/>
                      <w:highlight w:val="none"/>
                      <w:lang w:val="en-US" w:eastAsia="zh-CN" w:bidi="ar-SA"/>
                    </w:rPr>
                  </w:pPr>
                  <w:r>
                    <w:rPr>
                      <w:rFonts w:hint="eastAsia" w:ascii="仿宋" w:hAnsi="仿宋" w:eastAsia="仿宋" w:cs="宋体"/>
                      <w:kern w:val="0"/>
                      <w:sz w:val="24"/>
                      <w:highlight w:val="none"/>
                      <w:lang w:val="en-US" w:eastAsia="zh-CN"/>
                    </w:rPr>
                    <w:t>特定资质要求</w:t>
                  </w:r>
                </w:p>
              </w:tc>
              <w:tc>
                <w:tcPr>
                  <w:tcW w:w="0" w:type="auto"/>
                  <w:shd w:val="clear" w:color="auto" w:fill="auto"/>
                  <w:vAlign w:val="center"/>
                </w:tcPr>
                <w:p w14:paraId="58588DEE">
                  <w:pPr>
                    <w:keepNext w:val="0"/>
                    <w:keepLines w:val="0"/>
                    <w:widowControl w:val="0"/>
                    <w:suppressLineNumbers w:val="0"/>
                    <w:spacing w:before="0" w:beforeAutospacing="0" w:after="0" w:afterAutospacing="0" w:line="360" w:lineRule="auto"/>
                    <w:ind w:left="0" w:leftChars="0" w:right="0" w:rightChars="0"/>
                    <w:rPr>
                      <w:rFonts w:hint="eastAsia" w:ascii="仿宋" w:hAnsi="仿宋" w:eastAsia="仿宋" w:cs="宋体"/>
                      <w:b w:val="0"/>
                      <w:bCs w:val="0"/>
                      <w:kern w:val="0"/>
                      <w:sz w:val="24"/>
                      <w:szCs w:val="24"/>
                      <w:highlight w:val="none"/>
                      <w:lang w:val="en-US" w:eastAsia="zh-CN" w:bidi="ar-SA"/>
                    </w:rPr>
                  </w:pPr>
                  <w:r>
                    <w:rPr>
                      <w:rFonts w:hint="eastAsia" w:ascii="仿宋" w:hAnsi="仿宋" w:eastAsia="仿宋" w:cs="宋体"/>
                      <w:kern w:val="0"/>
                      <w:sz w:val="24"/>
                      <w:highlight w:val="none"/>
                      <w:lang w:eastAsia="zh-CN"/>
                    </w:rPr>
                    <w:t>供应商</w:t>
                  </w:r>
                  <w:r>
                    <w:rPr>
                      <w:rFonts w:hint="eastAsia" w:ascii="仿宋" w:hAnsi="仿宋" w:eastAsia="仿宋" w:cs="宋体"/>
                      <w:kern w:val="0"/>
                      <w:sz w:val="24"/>
                      <w:highlight w:val="none"/>
                    </w:rPr>
                    <w:t>必须具有安全生产许可证，在</w:t>
                  </w:r>
                  <w:r>
                    <w:rPr>
                      <w:rFonts w:hint="eastAsia" w:ascii="仿宋" w:hAnsi="仿宋" w:eastAsia="仿宋" w:cs="宋体"/>
                      <w:kern w:val="0"/>
                      <w:sz w:val="24"/>
                      <w:highlight w:val="none"/>
                      <w:lang w:val="en-US" w:eastAsia="zh-CN"/>
                    </w:rPr>
                    <w:t>响应</w:t>
                  </w:r>
                  <w:r>
                    <w:rPr>
                      <w:rFonts w:hint="eastAsia" w:ascii="仿宋" w:hAnsi="仿宋" w:eastAsia="仿宋" w:cs="宋体"/>
                      <w:kern w:val="0"/>
                      <w:sz w:val="24"/>
                      <w:highlight w:val="none"/>
                    </w:rPr>
                    <w:t>文件中提供该许可证有效复印件。</w:t>
                  </w:r>
                </w:p>
              </w:tc>
            </w:tr>
            <w:tr w14:paraId="3C48A8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shd w:val="clear" w:color="auto" w:fill="auto"/>
                  <w:vAlign w:val="center"/>
                </w:tcPr>
                <w:p w14:paraId="707454DE">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关于“财务状况报告”的补充说明</w:t>
                  </w:r>
                </w:p>
              </w:tc>
              <w:tc>
                <w:tcPr>
                  <w:tcW w:w="0" w:type="auto"/>
                  <w:shd w:val="clear" w:color="auto" w:fill="auto"/>
                  <w:vAlign w:val="center"/>
                </w:tcPr>
                <w:p w14:paraId="5337CCE8">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rightChars="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kern w:val="0"/>
                      <w:sz w:val="24"/>
                      <w:highlight w:val="none"/>
                    </w:rPr>
                    <w:t>首次响应文件递交截止时间</w:t>
                  </w:r>
                  <w:r>
                    <w:rPr>
                      <w:rFonts w:hint="eastAsia" w:ascii="仿宋" w:hAnsi="仿宋" w:eastAsia="仿宋" w:cs="仿宋"/>
                      <w:color w:val="auto"/>
                      <w:kern w:val="0"/>
                      <w:sz w:val="24"/>
                      <w:szCs w:val="24"/>
                      <w:highlight w:val="none"/>
                      <w:lang w:val="en-US" w:eastAsia="zh-CN"/>
                    </w:rPr>
                    <w:t>在2026年1月1日至6月30日的，供应商提供经审计的2024年度财务报告视同满足要求。</w:t>
                  </w:r>
                </w:p>
              </w:tc>
            </w:tr>
          </w:tbl>
          <w:p w14:paraId="53922344">
            <w:pPr>
              <w:pStyle w:val="24"/>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（3）磋商保证金</w:t>
            </w:r>
          </w:p>
          <w:p w14:paraId="5EBA25F8">
            <w:pPr>
              <w:pStyle w:val="24"/>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※备注说明</w:t>
            </w:r>
          </w:p>
          <w:p w14:paraId="3F678881">
            <w:pPr>
              <w:pStyle w:val="24"/>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①供应商应根据自身实际情况提供上述资格要求的证明材料，格式可参考磋商文件第五章提供。</w:t>
            </w:r>
          </w:p>
          <w:p w14:paraId="67EC87CC">
            <w:pPr>
              <w:pStyle w:val="24"/>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②供应商提供的相应证明材料复印件均应符合：内容完整、清晰、整洁，并由供应商加盖其单位公章。</w:t>
            </w:r>
          </w:p>
          <w:p w14:paraId="170513D6">
            <w:pPr>
              <w:pStyle w:val="24"/>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kern w:val="0"/>
                <w:sz w:val="24"/>
                <w:szCs w:val="24"/>
                <w:highlight w:val="none"/>
                <w:lang w:val="en-US" w:eastAsia="zh-CN" w:bidi="ar-SA"/>
              </w:rPr>
            </w:pPr>
            <w:r>
              <w:rPr>
                <w:rFonts w:hint="default" w:ascii="仿宋" w:hAnsi="仿宋" w:eastAsia="仿宋" w:cs="宋体"/>
                <w:kern w:val="0"/>
                <w:sz w:val="24"/>
                <w:szCs w:val="24"/>
                <w:highlight w:val="none"/>
                <w:lang w:val="en-US" w:eastAsia="zh-CN" w:bidi="ar-SA"/>
              </w:rPr>
              <w:t>③根据采购文件须知前附表1第1项号的“（2）特定资格条件”要求，允许供应商采用资格承诺制的并提供符合要求的资格承诺函，视为满足采购文件的资格要求</w:t>
            </w:r>
            <w:r>
              <w:rPr>
                <w:rFonts w:hint="eastAsia" w:ascii="仿宋" w:hAnsi="仿宋" w:eastAsia="仿宋" w:cs="宋体"/>
                <w:kern w:val="0"/>
                <w:sz w:val="24"/>
                <w:szCs w:val="24"/>
                <w:highlight w:val="none"/>
                <w:lang w:val="en-US" w:eastAsia="zh-CN" w:bidi="ar-SA"/>
              </w:rPr>
              <w:t>。</w:t>
            </w:r>
          </w:p>
        </w:tc>
      </w:tr>
      <w:tr w14:paraId="7D92DD5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2" w:hRule="atLeast"/>
          <w:jc w:val="center"/>
        </w:trPr>
        <w:tc>
          <w:tcPr>
            <w:tcW w:w="737" w:type="dxa"/>
            <w:vAlign w:val="center"/>
          </w:tcPr>
          <w:p w14:paraId="49E5766B">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w:t>
            </w:r>
          </w:p>
        </w:tc>
        <w:tc>
          <w:tcPr>
            <w:tcW w:w="964" w:type="dxa"/>
            <w:vAlign w:val="center"/>
          </w:tcPr>
          <w:p w14:paraId="0C32B64A">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3.2.2</w:t>
            </w:r>
          </w:p>
        </w:tc>
        <w:tc>
          <w:tcPr>
            <w:tcW w:w="8038" w:type="dxa"/>
            <w:vAlign w:val="center"/>
          </w:tcPr>
          <w:p w14:paraId="6A22D931">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是否接受联合体形式的响应磋商：采购包1：</w:t>
            </w:r>
            <w:r>
              <w:rPr>
                <w:rFonts w:hint="eastAsia" w:ascii="仿宋" w:hAnsi="仿宋" w:eastAsia="仿宋" w:cs="仿宋"/>
                <w:kern w:val="0"/>
                <w:sz w:val="24"/>
                <w:highlight w:val="none"/>
              </w:rPr>
              <w:t>不接受</w:t>
            </w:r>
          </w:p>
        </w:tc>
      </w:tr>
      <w:tr w14:paraId="0765BB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2" w:hRule="atLeast"/>
          <w:jc w:val="center"/>
        </w:trPr>
        <w:tc>
          <w:tcPr>
            <w:tcW w:w="737" w:type="dxa"/>
            <w:vAlign w:val="center"/>
          </w:tcPr>
          <w:p w14:paraId="2488C6A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w:t>
            </w:r>
          </w:p>
        </w:tc>
        <w:tc>
          <w:tcPr>
            <w:tcW w:w="964" w:type="dxa"/>
            <w:vAlign w:val="center"/>
          </w:tcPr>
          <w:p w14:paraId="02972B86">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6.3</w:t>
            </w:r>
          </w:p>
        </w:tc>
        <w:tc>
          <w:tcPr>
            <w:tcW w:w="8038" w:type="dxa"/>
            <w:vAlign w:val="center"/>
          </w:tcPr>
          <w:p w14:paraId="64C1A3FB">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是否组织现场考察或召开磋商前答疑会：</w:t>
            </w:r>
          </w:p>
          <w:p w14:paraId="5D41A4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highlight w:val="none"/>
              </w:rPr>
            </w:pPr>
            <w:r>
              <w:rPr>
                <w:rFonts w:hint="eastAsia" w:ascii="仿宋" w:hAnsi="仿宋" w:eastAsia="仿宋" w:cs="仿宋"/>
                <w:b w:val="0"/>
                <w:bCs w:val="0"/>
                <w:kern w:val="0"/>
                <w:sz w:val="24"/>
                <w:szCs w:val="24"/>
                <w:highlight w:val="none"/>
                <w:lang w:val="en-US" w:eastAsia="zh-CN"/>
              </w:rPr>
              <w:t>采购包1：组织；</w:t>
            </w:r>
          </w:p>
          <w:p w14:paraId="357376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仿宋" w:hAnsi="仿宋" w:eastAsia="仿宋" w:cs="仿宋"/>
                <w:b w:val="0"/>
                <w:bCs w:val="0"/>
                <w:kern w:val="0"/>
                <w:sz w:val="24"/>
                <w:szCs w:val="24"/>
                <w:highlight w:val="none"/>
                <w:lang w:val="en-US" w:eastAsia="zh-CN"/>
              </w:rPr>
            </w:pPr>
            <w:r>
              <w:rPr>
                <w:rFonts w:hint="eastAsia" w:ascii="仿宋" w:hAnsi="仿宋" w:eastAsia="仿宋" w:cs="仿宋"/>
                <w:b w:val="0"/>
                <w:bCs w:val="0"/>
                <w:kern w:val="0"/>
                <w:sz w:val="24"/>
                <w:szCs w:val="24"/>
                <w:highlight w:val="none"/>
                <w:lang w:val="en-US" w:eastAsia="zh-CN"/>
              </w:rPr>
              <w:t>踏勘时间：2026年5月6日上午9点半</w:t>
            </w:r>
          </w:p>
          <w:p w14:paraId="5900B0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 w:val="0"/>
                <w:bCs w:val="0"/>
                <w:kern w:val="0"/>
                <w:sz w:val="24"/>
                <w:szCs w:val="24"/>
                <w:highlight w:val="none"/>
                <w:lang w:val="en-US" w:eastAsia="zh-CN"/>
              </w:rPr>
            </w:pPr>
            <w:r>
              <w:rPr>
                <w:rFonts w:hint="eastAsia" w:ascii="仿宋" w:hAnsi="仿宋" w:eastAsia="仿宋" w:cs="仿宋"/>
                <w:b w:val="0"/>
                <w:bCs w:val="0"/>
                <w:kern w:val="0"/>
                <w:sz w:val="24"/>
                <w:szCs w:val="24"/>
                <w:highlight w:val="none"/>
                <w:lang w:val="en-US" w:eastAsia="zh-CN"/>
              </w:rPr>
              <w:t>踏勘联系人：熊刚</w:t>
            </w:r>
          </w:p>
          <w:p w14:paraId="134ECF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kern w:val="0"/>
                <w:sz w:val="24"/>
                <w:highlight w:val="none"/>
              </w:rPr>
            </w:pPr>
            <w:r>
              <w:rPr>
                <w:rFonts w:hint="eastAsia" w:ascii="仿宋" w:hAnsi="仿宋" w:eastAsia="仿宋" w:cs="仿宋"/>
                <w:b w:val="0"/>
                <w:bCs w:val="0"/>
                <w:kern w:val="0"/>
                <w:sz w:val="24"/>
                <w:szCs w:val="24"/>
                <w:highlight w:val="none"/>
                <w:lang w:val="en-US" w:eastAsia="zh-CN"/>
              </w:rPr>
              <w:t>踏勘地点：厦门市思明区文园路93号</w:t>
            </w:r>
          </w:p>
        </w:tc>
      </w:tr>
      <w:tr w14:paraId="55D44B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2" w:hRule="atLeast"/>
          <w:jc w:val="center"/>
        </w:trPr>
        <w:tc>
          <w:tcPr>
            <w:tcW w:w="737" w:type="dxa"/>
            <w:vAlign w:val="center"/>
          </w:tcPr>
          <w:p w14:paraId="693583FC">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4</w:t>
            </w:r>
          </w:p>
        </w:tc>
        <w:tc>
          <w:tcPr>
            <w:tcW w:w="964" w:type="dxa"/>
            <w:vAlign w:val="center"/>
          </w:tcPr>
          <w:p w14:paraId="07F9EE4F">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9.1</w:t>
            </w:r>
          </w:p>
        </w:tc>
        <w:tc>
          <w:tcPr>
            <w:tcW w:w="8038" w:type="dxa"/>
            <w:vAlign w:val="center"/>
          </w:tcPr>
          <w:p w14:paraId="4F5F54DD">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响应文件有效期：</w:t>
            </w:r>
            <w:r>
              <w:rPr>
                <w:rFonts w:hint="eastAsia" w:ascii="仿宋" w:hAnsi="仿宋" w:eastAsia="仿宋" w:cs="仿宋"/>
                <w:kern w:val="0"/>
                <w:sz w:val="24"/>
                <w:highlight w:val="none"/>
              </w:rPr>
              <w:t>首次响应文件提交截止时间起90个日历日。</w:t>
            </w:r>
          </w:p>
        </w:tc>
      </w:tr>
      <w:tr w14:paraId="2D86BE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 w:hRule="atLeast"/>
          <w:jc w:val="center"/>
        </w:trPr>
        <w:tc>
          <w:tcPr>
            <w:tcW w:w="737" w:type="dxa"/>
            <w:vAlign w:val="center"/>
          </w:tcPr>
          <w:p w14:paraId="6E57CBF0">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5</w:t>
            </w:r>
          </w:p>
        </w:tc>
        <w:tc>
          <w:tcPr>
            <w:tcW w:w="964" w:type="dxa"/>
            <w:vAlign w:val="center"/>
          </w:tcPr>
          <w:p w14:paraId="06D3818B">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10.1</w:t>
            </w:r>
          </w:p>
        </w:tc>
        <w:tc>
          <w:tcPr>
            <w:tcW w:w="8038" w:type="dxa"/>
            <w:vAlign w:val="center"/>
          </w:tcPr>
          <w:p w14:paraId="129AEE9F">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提交磋商保证金：</w:t>
            </w:r>
          </w:p>
          <w:p w14:paraId="4FA981DF">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rPr>
              <w:t>本项目的磋商保证金详见</w:t>
            </w:r>
            <w:r>
              <w:rPr>
                <w:rFonts w:hint="eastAsia" w:ascii="仿宋" w:hAnsi="仿宋" w:eastAsia="仿宋" w:cs="仿宋"/>
                <w:kern w:val="0"/>
                <w:sz w:val="24"/>
                <w:highlight w:val="none"/>
                <w:lang w:val="en-US" w:eastAsia="zh-CN"/>
              </w:rPr>
              <w:t>磋商文件第一章采购邀请书/</w:t>
            </w:r>
            <w:r>
              <w:rPr>
                <w:rFonts w:hint="eastAsia" w:ascii="仿宋" w:hAnsi="仿宋" w:eastAsia="仿宋" w:cs="仿宋"/>
                <w:kern w:val="0"/>
                <w:sz w:val="24"/>
                <w:highlight w:val="none"/>
              </w:rPr>
              <w:t>采购内容及要求</w:t>
            </w:r>
            <w:r>
              <w:rPr>
                <w:rFonts w:hint="eastAsia" w:ascii="仿宋" w:hAnsi="仿宋" w:eastAsia="仿宋" w:cs="仿宋"/>
                <w:kern w:val="0"/>
                <w:sz w:val="24"/>
                <w:highlight w:val="none"/>
                <w:lang w:eastAsia="zh-CN"/>
              </w:rPr>
              <w:t>；</w:t>
            </w:r>
          </w:p>
          <w:p w14:paraId="53A76AA8">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2"/>
                <w:highlight w:val="none"/>
                <w:lang w:val="en-US" w:eastAsia="zh-CN" w:bidi="ar-SA"/>
              </w:rPr>
            </w:pPr>
            <w:r>
              <w:rPr>
                <w:rFonts w:hint="eastAsia" w:ascii="仿宋" w:hAnsi="仿宋" w:eastAsia="仿宋" w:cs="仿宋"/>
                <w:color w:val="auto"/>
                <w:kern w:val="0"/>
                <w:sz w:val="24"/>
                <w:szCs w:val="22"/>
                <w:highlight w:val="none"/>
                <w:lang w:val="en-US" w:eastAsia="zh-CN" w:bidi="ar-SA"/>
              </w:rPr>
              <w:t>2、供应商以汇款形式缴纳磋商保证金的，应从其</w:t>
            </w:r>
            <w:r>
              <w:rPr>
                <w:rFonts w:hint="eastAsia" w:ascii="仿宋" w:hAnsi="仿宋" w:eastAsia="仿宋" w:cs="仿宋"/>
                <w:b/>
                <w:bCs/>
                <w:color w:val="auto"/>
                <w:kern w:val="0"/>
                <w:sz w:val="24"/>
                <w:szCs w:val="22"/>
                <w:highlight w:val="none"/>
                <w:lang w:val="en-US" w:eastAsia="zh-CN" w:bidi="ar-SA"/>
              </w:rPr>
              <w:t>基本存款账户</w:t>
            </w:r>
            <w:r>
              <w:rPr>
                <w:rFonts w:hint="eastAsia" w:ascii="仿宋" w:hAnsi="仿宋" w:eastAsia="仿宋" w:cs="仿宋"/>
                <w:b w:val="0"/>
                <w:bCs w:val="0"/>
                <w:color w:val="auto"/>
                <w:kern w:val="0"/>
                <w:sz w:val="24"/>
                <w:szCs w:val="22"/>
                <w:highlight w:val="none"/>
                <w:lang w:val="en-US" w:eastAsia="zh-CN" w:bidi="ar-SA"/>
              </w:rPr>
              <w:t>以</w:t>
            </w:r>
            <w:r>
              <w:rPr>
                <w:rFonts w:hint="eastAsia" w:ascii="仿宋" w:hAnsi="仿宋" w:eastAsia="仿宋" w:cs="仿宋"/>
                <w:b/>
                <w:bCs/>
                <w:color w:val="auto"/>
                <w:kern w:val="0"/>
                <w:sz w:val="24"/>
                <w:szCs w:val="22"/>
                <w:highlight w:val="none"/>
                <w:lang w:val="en-US" w:eastAsia="zh-CN" w:bidi="ar-SA"/>
              </w:rPr>
              <w:t>公对公转账方式</w:t>
            </w:r>
            <w:r>
              <w:rPr>
                <w:rFonts w:hint="eastAsia" w:ascii="仿宋" w:hAnsi="仿宋" w:eastAsia="仿宋" w:cs="仿宋"/>
                <w:color w:val="auto"/>
                <w:kern w:val="0"/>
                <w:sz w:val="24"/>
                <w:szCs w:val="22"/>
                <w:highlight w:val="none"/>
                <w:lang w:val="en-US" w:eastAsia="zh-CN" w:bidi="ar-SA"/>
              </w:rPr>
              <w:t>向采购文件载明的磋商保证金账户转入磋商保证金。磋商保证金须于首次响应文件递交截止时间前实际到达指定账户，逾期未到账的，视为未提交磋商保证金。</w:t>
            </w:r>
          </w:p>
          <w:p w14:paraId="6756E45A">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szCs w:val="24"/>
                <w:highlight w:val="none"/>
                <w:lang w:val="en-US" w:eastAsia="zh-CN" w:bidi="ar-SA"/>
              </w:rPr>
              <w:t>3、</w:t>
            </w:r>
            <w:r>
              <w:rPr>
                <w:rFonts w:hint="eastAsia" w:ascii="仿宋" w:hAnsi="仿宋" w:eastAsia="仿宋" w:cs="仿宋"/>
                <w:color w:val="auto"/>
                <w:kern w:val="0"/>
                <w:sz w:val="24"/>
                <w:szCs w:val="22"/>
                <w:highlight w:val="none"/>
                <w:lang w:val="en-US" w:eastAsia="zh-CN" w:bidi="ar-SA"/>
              </w:rPr>
              <w:t>供应商以</w:t>
            </w:r>
            <w:r>
              <w:rPr>
                <w:rFonts w:hint="eastAsia" w:ascii="仿宋" w:hAnsi="仿宋" w:eastAsia="仿宋" w:cs="仿宋"/>
                <w:b/>
                <w:bCs/>
                <w:color w:val="auto"/>
                <w:kern w:val="0"/>
                <w:sz w:val="24"/>
                <w:szCs w:val="22"/>
                <w:highlight w:val="none"/>
                <w:lang w:val="en-US" w:eastAsia="zh-CN" w:bidi="ar-SA"/>
              </w:rPr>
              <w:t>保函形式</w:t>
            </w:r>
            <w:r>
              <w:rPr>
                <w:rFonts w:hint="eastAsia" w:ascii="仿宋" w:hAnsi="仿宋" w:eastAsia="仿宋" w:cs="仿宋"/>
                <w:color w:val="auto"/>
                <w:kern w:val="0"/>
                <w:sz w:val="24"/>
                <w:szCs w:val="22"/>
                <w:highlight w:val="none"/>
                <w:lang w:val="en-US" w:eastAsia="zh-CN" w:bidi="ar-SA"/>
              </w:rPr>
              <w:t>提交磋商保证金的，应在首次响应文件递交截止时间前开具合法有效的保函，并将保函原件（或正本文件）密封装入响应文件中一并递交，逾期递交或未按要求装入响应文件的，视为未提交磋商保证金；【保函有效期应不短于响应文件承诺的有效期，保函应由供应商基本账户开户行或具备法定资质的专业担保机构出具，否则不予认可。】</w:t>
            </w:r>
          </w:p>
          <w:p w14:paraId="28E8AC13">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其他：若本项目需要供应商提交磋商保证金的，若供应商为中小企业的，且出具《政府采购促进中小企业发展管理办法》（财库〔2020〕46号）规定的《中小企业声明函》，则可按采购文件要求的磋商保证金数额的50%提交磋商保证金。</w:t>
            </w:r>
          </w:p>
        </w:tc>
      </w:tr>
      <w:tr w14:paraId="10367F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 w:hRule="atLeast"/>
          <w:jc w:val="center"/>
        </w:trPr>
        <w:tc>
          <w:tcPr>
            <w:tcW w:w="737" w:type="dxa"/>
            <w:vAlign w:val="center"/>
          </w:tcPr>
          <w:p w14:paraId="12BB893D">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6</w:t>
            </w:r>
          </w:p>
        </w:tc>
        <w:tc>
          <w:tcPr>
            <w:tcW w:w="964" w:type="dxa"/>
            <w:vAlign w:val="center"/>
          </w:tcPr>
          <w:p w14:paraId="18B3981F">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10.3.1</w:t>
            </w:r>
          </w:p>
        </w:tc>
        <w:tc>
          <w:tcPr>
            <w:tcW w:w="8038" w:type="dxa"/>
            <w:vAlign w:val="center"/>
          </w:tcPr>
          <w:p w14:paraId="3EA7F92A">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磋商保证金退还的</w:t>
            </w:r>
            <w:r>
              <w:rPr>
                <w:rFonts w:hint="eastAsia" w:ascii="仿宋" w:hAnsi="仿宋" w:eastAsia="仿宋" w:cs="仿宋"/>
                <w:b/>
                <w:bCs/>
                <w:kern w:val="0"/>
                <w:sz w:val="24"/>
                <w:highlight w:val="none"/>
                <w:lang w:eastAsia="zh-CN"/>
              </w:rPr>
              <w:t>其他</w:t>
            </w:r>
            <w:r>
              <w:rPr>
                <w:rFonts w:hint="eastAsia" w:ascii="仿宋" w:hAnsi="仿宋" w:eastAsia="仿宋" w:cs="仿宋"/>
                <w:b/>
                <w:bCs/>
                <w:kern w:val="0"/>
                <w:sz w:val="24"/>
                <w:highlight w:val="none"/>
              </w:rPr>
              <w:t>要求：</w:t>
            </w:r>
          </w:p>
          <w:p w14:paraId="6E9C9AEC">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无。</w:t>
            </w:r>
          </w:p>
        </w:tc>
      </w:tr>
      <w:tr w14:paraId="5E4A7A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 w:hRule="atLeast"/>
          <w:jc w:val="center"/>
        </w:trPr>
        <w:tc>
          <w:tcPr>
            <w:tcW w:w="737" w:type="dxa"/>
            <w:vAlign w:val="center"/>
          </w:tcPr>
          <w:p w14:paraId="00D7F1B7">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7</w:t>
            </w:r>
          </w:p>
        </w:tc>
        <w:tc>
          <w:tcPr>
            <w:tcW w:w="964" w:type="dxa"/>
            <w:vAlign w:val="center"/>
          </w:tcPr>
          <w:p w14:paraId="006C25AA">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11.1</w:t>
            </w:r>
          </w:p>
        </w:tc>
        <w:tc>
          <w:tcPr>
            <w:tcW w:w="8038" w:type="dxa"/>
            <w:vAlign w:val="center"/>
          </w:tcPr>
          <w:p w14:paraId="321D833A">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纸质响应文件的份数</w:t>
            </w:r>
          </w:p>
          <w:p w14:paraId="53818CE5">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响应文件正本</w:t>
            </w: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rPr>
              <w:t>份、副本</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份。</w:t>
            </w:r>
          </w:p>
          <w:p w14:paraId="04480BBD">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rPr>
              <w:t>可读介质（光盘或U盘）</w:t>
            </w: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rPr>
              <w:t>份</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内含：</w:t>
            </w:r>
          </w:p>
          <w:p w14:paraId="00AE80FB">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1、响应文件正本word格式；</w:t>
            </w:r>
          </w:p>
          <w:p w14:paraId="7FD6306B">
            <w:pPr>
              <w:pageBreakBefore w:val="0"/>
              <w:widowControl w:val="0"/>
              <w:kinsoku/>
              <w:wordWrap/>
              <w:overflowPunct/>
              <w:topLinePunct w:val="0"/>
              <w:autoSpaceDE/>
              <w:autoSpaceDN/>
              <w:bidi w:val="0"/>
              <w:adjustRightInd/>
              <w:snapToGrid/>
              <w:spacing w:line="360" w:lineRule="auto"/>
              <w:textAlignment w:val="auto"/>
              <w:rPr>
                <w:rFonts w:hint="default" w:eastAsiaTheme="minorEastAsia"/>
                <w:highlight w:val="none"/>
                <w:lang w:val="en-US" w:eastAsia="zh-CN"/>
              </w:rPr>
            </w:pPr>
            <w:r>
              <w:rPr>
                <w:rFonts w:hint="eastAsia" w:ascii="仿宋" w:hAnsi="仿宋" w:eastAsia="仿宋" w:cs="仿宋"/>
                <w:kern w:val="0"/>
                <w:sz w:val="24"/>
                <w:highlight w:val="none"/>
                <w:lang w:val="en-US" w:eastAsia="zh-CN"/>
              </w:rPr>
              <w:t>2、响应文件正本且加盖其公章的pdf格式；</w:t>
            </w:r>
          </w:p>
        </w:tc>
      </w:tr>
      <w:tr w14:paraId="71E945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 w:hRule="atLeast"/>
          <w:jc w:val="center"/>
        </w:trPr>
        <w:tc>
          <w:tcPr>
            <w:tcW w:w="737" w:type="dxa"/>
            <w:vAlign w:val="center"/>
          </w:tcPr>
          <w:p w14:paraId="6013AB80">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8</w:t>
            </w:r>
          </w:p>
        </w:tc>
        <w:tc>
          <w:tcPr>
            <w:tcW w:w="964" w:type="dxa"/>
            <w:vAlign w:val="center"/>
          </w:tcPr>
          <w:p w14:paraId="55F32496">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14.4</w:t>
            </w:r>
          </w:p>
        </w:tc>
        <w:tc>
          <w:tcPr>
            <w:tcW w:w="8038" w:type="dxa"/>
            <w:vAlign w:val="center"/>
          </w:tcPr>
          <w:p w14:paraId="66D4DF1A">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磋商过程中可能发生实质性变动的内容：</w:t>
            </w:r>
          </w:p>
          <w:p w14:paraId="4A9907EC">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无。</w:t>
            </w:r>
          </w:p>
        </w:tc>
      </w:tr>
      <w:tr w14:paraId="78BAC1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 w:hRule="atLeast"/>
          <w:jc w:val="center"/>
        </w:trPr>
        <w:tc>
          <w:tcPr>
            <w:tcW w:w="737" w:type="dxa"/>
            <w:vAlign w:val="center"/>
          </w:tcPr>
          <w:p w14:paraId="70864DCE">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9</w:t>
            </w:r>
          </w:p>
        </w:tc>
        <w:tc>
          <w:tcPr>
            <w:tcW w:w="964" w:type="dxa"/>
            <w:vAlign w:val="center"/>
          </w:tcPr>
          <w:p w14:paraId="50271367">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14.9</w:t>
            </w:r>
          </w:p>
        </w:tc>
        <w:tc>
          <w:tcPr>
            <w:tcW w:w="8038" w:type="dxa"/>
            <w:vAlign w:val="center"/>
          </w:tcPr>
          <w:p w14:paraId="197EF1A0">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评审的标准和方法：具体内容详见竞争性磋商须知前附表专项附件“评审的标准和方法”。</w:t>
            </w:r>
          </w:p>
        </w:tc>
      </w:tr>
      <w:tr w14:paraId="50ACD8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 w:hRule="atLeast"/>
          <w:jc w:val="center"/>
        </w:trPr>
        <w:tc>
          <w:tcPr>
            <w:tcW w:w="737" w:type="dxa"/>
            <w:vAlign w:val="center"/>
          </w:tcPr>
          <w:p w14:paraId="0074402B">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10</w:t>
            </w:r>
          </w:p>
        </w:tc>
        <w:tc>
          <w:tcPr>
            <w:tcW w:w="964" w:type="dxa"/>
            <w:vAlign w:val="center"/>
          </w:tcPr>
          <w:p w14:paraId="7AB84501">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5.1.4</w:t>
            </w:r>
          </w:p>
        </w:tc>
        <w:tc>
          <w:tcPr>
            <w:tcW w:w="8038" w:type="dxa"/>
            <w:vAlign w:val="center"/>
          </w:tcPr>
          <w:p w14:paraId="27FB8B4F">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根据采购项目的特点和需要，需要加以详细说明的其他磋商程序规定、要求等内容</w:t>
            </w:r>
            <w:r>
              <w:rPr>
                <w:rFonts w:hint="eastAsia" w:ascii="仿宋" w:hAnsi="仿宋" w:eastAsia="仿宋" w:cs="仿宋"/>
                <w:kern w:val="0"/>
                <w:sz w:val="24"/>
                <w:highlight w:val="none"/>
              </w:rPr>
              <w:t>：</w:t>
            </w:r>
          </w:p>
          <w:p w14:paraId="6240FEB3">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宋体"/>
                <w:kern w:val="0"/>
                <w:sz w:val="24"/>
                <w:highlight w:val="none"/>
                <w:lang w:val="en-US" w:eastAsia="zh-CN"/>
              </w:rPr>
            </w:pPr>
            <w:r>
              <w:rPr>
                <w:rFonts w:hint="eastAsia" w:ascii="仿宋" w:hAnsi="仿宋" w:eastAsia="仿宋" w:cs="宋体"/>
                <w:kern w:val="0"/>
                <w:sz w:val="24"/>
                <w:szCs w:val="24"/>
                <w:highlight w:val="none"/>
                <w:lang w:val="en-US" w:eastAsia="zh-CN" w:bidi="ar-SA"/>
              </w:rPr>
              <w:t>1、</w:t>
            </w:r>
            <w:r>
              <w:rPr>
                <w:rFonts w:hint="eastAsia" w:ascii="仿宋" w:hAnsi="仿宋" w:eastAsia="仿宋" w:cs="宋体"/>
                <w:kern w:val="0"/>
                <w:sz w:val="24"/>
                <w:highlight w:val="none"/>
                <w:lang w:eastAsia="zh-CN"/>
              </w:rPr>
              <w:t>磋商</w:t>
            </w:r>
            <w:r>
              <w:rPr>
                <w:rFonts w:hint="default" w:ascii="仿宋" w:hAnsi="仿宋" w:eastAsia="仿宋" w:cs="宋体"/>
                <w:kern w:val="0"/>
                <w:sz w:val="24"/>
                <w:highlight w:val="none"/>
              </w:rPr>
              <w:t>代表应带身份证原件等有效身份证明文件参与</w:t>
            </w:r>
            <w:r>
              <w:rPr>
                <w:rFonts w:hint="eastAsia" w:ascii="仿宋" w:hAnsi="仿宋" w:eastAsia="仿宋" w:cs="宋体"/>
                <w:kern w:val="0"/>
                <w:sz w:val="24"/>
                <w:highlight w:val="none"/>
                <w:lang w:eastAsia="zh-CN"/>
              </w:rPr>
              <w:t>磋商</w:t>
            </w:r>
            <w:r>
              <w:rPr>
                <w:rFonts w:hint="default" w:ascii="仿宋" w:hAnsi="仿宋" w:eastAsia="仿宋" w:cs="宋体"/>
                <w:kern w:val="0"/>
                <w:sz w:val="24"/>
                <w:highlight w:val="none"/>
              </w:rPr>
              <w:t>和</w:t>
            </w:r>
            <w:r>
              <w:rPr>
                <w:rFonts w:hint="eastAsia" w:ascii="仿宋" w:hAnsi="仿宋" w:eastAsia="仿宋" w:cs="宋体"/>
                <w:kern w:val="0"/>
                <w:sz w:val="24"/>
                <w:highlight w:val="none"/>
                <w:lang w:val="en-US" w:eastAsia="zh-CN"/>
              </w:rPr>
              <w:t>最后</w:t>
            </w:r>
            <w:r>
              <w:rPr>
                <w:rFonts w:hint="default" w:ascii="仿宋" w:hAnsi="仿宋" w:eastAsia="仿宋" w:cs="宋体"/>
                <w:kern w:val="0"/>
                <w:sz w:val="24"/>
                <w:highlight w:val="none"/>
              </w:rPr>
              <w:t>报价，</w:t>
            </w:r>
            <w:r>
              <w:rPr>
                <w:rFonts w:hint="eastAsia" w:ascii="仿宋" w:hAnsi="仿宋" w:eastAsia="仿宋" w:cs="宋体"/>
                <w:kern w:val="0"/>
                <w:sz w:val="24"/>
                <w:highlight w:val="none"/>
                <w:lang w:val="en-US" w:eastAsia="zh-CN"/>
              </w:rPr>
              <w:t>如</w:t>
            </w:r>
            <w:r>
              <w:rPr>
                <w:rFonts w:hint="default" w:ascii="仿宋" w:hAnsi="仿宋" w:eastAsia="仿宋" w:cs="宋体"/>
                <w:kern w:val="0"/>
                <w:sz w:val="24"/>
                <w:highlight w:val="none"/>
              </w:rPr>
              <w:t>未携带有效证件</w:t>
            </w:r>
            <w:r>
              <w:rPr>
                <w:rFonts w:hint="eastAsia" w:ascii="仿宋" w:hAnsi="仿宋" w:eastAsia="仿宋" w:cs="宋体"/>
                <w:kern w:val="0"/>
                <w:sz w:val="24"/>
                <w:highlight w:val="none"/>
                <w:lang w:val="en-US" w:eastAsia="zh-CN"/>
              </w:rPr>
              <w:t>或代理机构在规定时限内无法联系到供应商代表，且供应商代表未声明其退出磋商的，磋商小组将按其首次报价进行评审。【供应商代表须全程在场，离场未告知且无法联系的，视同放弃后续磋商与报价权利。】</w:t>
            </w:r>
          </w:p>
          <w:p w14:paraId="431D37D0">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宋体"/>
                <w:kern w:val="0"/>
                <w:sz w:val="24"/>
                <w:highlight w:val="none"/>
              </w:rPr>
            </w:pPr>
            <w:r>
              <w:rPr>
                <w:rFonts w:hint="default" w:ascii="仿宋" w:hAnsi="仿宋" w:eastAsia="仿宋" w:cs="宋体"/>
                <w:kern w:val="0"/>
                <w:sz w:val="24"/>
                <w:szCs w:val="24"/>
                <w:highlight w:val="none"/>
                <w:lang w:val="en-US" w:eastAsia="zh-CN" w:bidi="ar-SA"/>
              </w:rPr>
              <w:t>2、</w:t>
            </w:r>
            <w:r>
              <w:rPr>
                <w:rFonts w:hint="eastAsia" w:ascii="仿宋" w:hAnsi="仿宋" w:eastAsia="仿宋" w:cs="宋体"/>
                <w:kern w:val="0"/>
                <w:sz w:val="24"/>
                <w:highlight w:val="none"/>
                <w:lang w:eastAsia="zh-CN"/>
              </w:rPr>
              <w:t>磋商</w:t>
            </w:r>
            <w:r>
              <w:rPr>
                <w:rFonts w:hint="default" w:ascii="仿宋" w:hAnsi="仿宋" w:eastAsia="仿宋" w:cs="宋体"/>
                <w:kern w:val="0"/>
                <w:sz w:val="24"/>
                <w:highlight w:val="none"/>
              </w:rPr>
              <w:t>代表书面声明</w:t>
            </w:r>
            <w:r>
              <w:rPr>
                <w:rFonts w:hint="eastAsia" w:ascii="仿宋" w:hAnsi="仿宋" w:eastAsia="仿宋" w:cs="宋体"/>
                <w:kern w:val="0"/>
                <w:sz w:val="24"/>
                <w:highlight w:val="none"/>
                <w:lang w:val="en-US" w:eastAsia="zh-CN"/>
              </w:rPr>
              <w:t>放弃</w:t>
            </w:r>
            <w:r>
              <w:rPr>
                <w:rFonts w:hint="eastAsia" w:ascii="仿宋" w:hAnsi="仿宋" w:eastAsia="仿宋" w:cs="宋体"/>
                <w:kern w:val="0"/>
                <w:sz w:val="24"/>
                <w:highlight w:val="none"/>
                <w:lang w:eastAsia="zh-CN"/>
              </w:rPr>
              <w:t>磋商</w:t>
            </w:r>
            <w:r>
              <w:rPr>
                <w:rFonts w:hint="default" w:ascii="仿宋" w:hAnsi="仿宋" w:eastAsia="仿宋" w:cs="宋体"/>
                <w:kern w:val="0"/>
                <w:sz w:val="24"/>
                <w:highlight w:val="none"/>
              </w:rPr>
              <w:t>及</w:t>
            </w:r>
            <w:r>
              <w:rPr>
                <w:rFonts w:hint="eastAsia" w:ascii="仿宋" w:hAnsi="仿宋" w:eastAsia="仿宋" w:cs="宋体"/>
                <w:kern w:val="0"/>
                <w:sz w:val="24"/>
                <w:highlight w:val="none"/>
                <w:lang w:val="en-US" w:eastAsia="zh-CN"/>
              </w:rPr>
              <w:t>最后</w:t>
            </w:r>
            <w:r>
              <w:rPr>
                <w:rFonts w:hint="default" w:ascii="仿宋" w:hAnsi="仿宋" w:eastAsia="仿宋" w:cs="宋体"/>
                <w:kern w:val="0"/>
                <w:sz w:val="24"/>
                <w:highlight w:val="none"/>
              </w:rPr>
              <w:t>报价</w:t>
            </w:r>
            <w:r>
              <w:rPr>
                <w:rFonts w:hint="eastAsia" w:ascii="仿宋" w:hAnsi="仿宋" w:eastAsia="仿宋" w:cs="宋体"/>
                <w:kern w:val="0"/>
                <w:sz w:val="24"/>
                <w:highlight w:val="none"/>
                <w:lang w:val="en-US" w:eastAsia="zh-CN"/>
              </w:rPr>
              <w:t>的</w:t>
            </w:r>
            <w:r>
              <w:rPr>
                <w:rFonts w:hint="default" w:ascii="仿宋" w:hAnsi="仿宋" w:eastAsia="仿宋" w:cs="宋体"/>
                <w:kern w:val="0"/>
                <w:sz w:val="24"/>
                <w:highlight w:val="none"/>
              </w:rPr>
              <w:t>，</w:t>
            </w:r>
            <w:r>
              <w:rPr>
                <w:rFonts w:hint="eastAsia" w:ascii="仿宋" w:hAnsi="仿宋" w:eastAsia="仿宋" w:cs="宋体"/>
                <w:kern w:val="0"/>
                <w:sz w:val="24"/>
                <w:highlight w:val="none"/>
                <w:lang w:val="en-US" w:eastAsia="zh-CN"/>
              </w:rPr>
              <w:t>视为主动退出本项目磋商，已提交响应文件但在最后报价提交前退出的，按采购文件约定退还磋商保证金</w:t>
            </w:r>
            <w:r>
              <w:rPr>
                <w:rFonts w:hint="default" w:ascii="仿宋" w:hAnsi="仿宋" w:eastAsia="仿宋" w:cs="宋体"/>
                <w:kern w:val="0"/>
                <w:sz w:val="24"/>
                <w:highlight w:val="none"/>
              </w:rPr>
              <w:t>。</w:t>
            </w:r>
          </w:p>
          <w:p w14:paraId="56594587">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3、</w:t>
            </w:r>
            <w:r>
              <w:rPr>
                <w:rFonts w:hint="eastAsia" w:ascii="仿宋" w:hAnsi="仿宋" w:eastAsia="仿宋" w:cs="仿宋"/>
                <w:kern w:val="0"/>
                <w:sz w:val="24"/>
                <w:highlight w:val="none"/>
              </w:rPr>
              <w:t>供应商在最后报价中</w:t>
            </w:r>
            <w:r>
              <w:rPr>
                <w:rFonts w:hint="eastAsia" w:ascii="仿宋" w:hAnsi="仿宋" w:eastAsia="仿宋" w:cs="仿宋"/>
                <w:sz w:val="24"/>
                <w:szCs w:val="24"/>
                <w:highlight w:val="none"/>
              </w:rPr>
              <w:t>存在</w:t>
            </w:r>
            <w:r>
              <w:rPr>
                <w:rFonts w:hint="eastAsia" w:ascii="仿宋" w:hAnsi="仿宋" w:eastAsia="仿宋" w:cs="仿宋"/>
                <w:kern w:val="0"/>
                <w:sz w:val="24"/>
                <w:highlight w:val="none"/>
              </w:rPr>
              <w:t>明显的文字</w:t>
            </w:r>
            <w:r>
              <w:rPr>
                <w:rFonts w:hint="eastAsia" w:ascii="仿宋" w:hAnsi="仿宋" w:eastAsia="仿宋" w:cs="仿宋"/>
                <w:kern w:val="0"/>
                <w:sz w:val="24"/>
                <w:highlight w:val="none"/>
                <w:lang w:val="en-US" w:eastAsia="zh-CN"/>
              </w:rPr>
              <w:t>或</w:t>
            </w:r>
            <w:r>
              <w:rPr>
                <w:rFonts w:hint="eastAsia" w:ascii="仿宋" w:hAnsi="仿宋" w:eastAsia="仿宋" w:cs="仿宋"/>
                <w:kern w:val="0"/>
                <w:sz w:val="24"/>
                <w:highlight w:val="none"/>
              </w:rPr>
              <w:t>计算错误，</w:t>
            </w:r>
            <w:r>
              <w:rPr>
                <w:rFonts w:hint="eastAsia" w:ascii="仿宋" w:hAnsi="仿宋" w:eastAsia="仿宋" w:cs="仿宋"/>
                <w:kern w:val="0"/>
                <w:sz w:val="24"/>
                <w:highlight w:val="none"/>
                <w:lang w:eastAsia="zh-CN"/>
              </w:rPr>
              <w:t>磋商小组</w:t>
            </w:r>
            <w:r>
              <w:rPr>
                <w:rFonts w:hint="eastAsia" w:ascii="仿宋" w:hAnsi="仿宋" w:eastAsia="仿宋" w:cs="仿宋"/>
                <w:kern w:val="0"/>
                <w:sz w:val="24"/>
                <w:highlight w:val="none"/>
              </w:rPr>
              <w:t>有权按下述办法修正</w:t>
            </w:r>
            <w:r>
              <w:rPr>
                <w:rFonts w:hint="eastAsia" w:ascii="仿宋" w:hAnsi="仿宋" w:eastAsia="仿宋" w:cs="仿宋"/>
                <w:kern w:val="0"/>
                <w:sz w:val="24"/>
                <w:highlight w:val="none"/>
                <w:lang w:eastAsia="zh-CN"/>
              </w:rPr>
              <w:t>，修正后不改变报价实质性内容</w:t>
            </w:r>
            <w:r>
              <w:rPr>
                <w:rFonts w:hint="eastAsia" w:ascii="仿宋" w:hAnsi="仿宋" w:eastAsia="仿宋" w:cs="仿宋"/>
                <w:kern w:val="0"/>
                <w:sz w:val="24"/>
                <w:highlight w:val="none"/>
              </w:rPr>
              <w:t>：</w:t>
            </w:r>
          </w:p>
          <w:p w14:paraId="3A71785B">
            <w:pPr>
              <w:pageBreakBefore w:val="0"/>
              <w:widowControl w:val="0"/>
              <w:numPr>
                <w:ilvl w:val="-1"/>
                <w:numId w:val="0"/>
              </w:numPr>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①大写金额和小写金额不一致的，以大写金额为准；</w:t>
            </w:r>
          </w:p>
          <w:p w14:paraId="0C637FFF">
            <w:pPr>
              <w:pageBreakBefore w:val="0"/>
              <w:widowControl w:val="0"/>
              <w:numPr>
                <w:ilvl w:val="-1"/>
                <w:numId w:val="0"/>
              </w:numPr>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②单价金额小数点或百分比有明显错位的，以最后报价总价为准，并修改单价；</w:t>
            </w:r>
          </w:p>
          <w:p w14:paraId="2EE09BC8">
            <w:pPr>
              <w:pageBreakBefore w:val="0"/>
              <w:widowControl w:val="0"/>
              <w:numPr>
                <w:ilvl w:val="-1"/>
                <w:numId w:val="0"/>
              </w:numPr>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③总价金额与按照单价汇总金额不一致的，以单价金额计算结果为准。</w:t>
            </w:r>
          </w:p>
          <w:p w14:paraId="06E4979D">
            <w:pPr>
              <w:pageBreakBefore w:val="0"/>
              <w:widowControl w:val="0"/>
              <w:numPr>
                <w:ilvl w:val="-1"/>
                <w:numId w:val="0"/>
              </w:numPr>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同时出现两种以上错误的，按上述顺序依次修正。</w:t>
            </w:r>
          </w:p>
          <w:p w14:paraId="13690D9D">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szCs w:val="24"/>
                <w:highlight w:val="none"/>
                <w:lang w:val="en-US" w:eastAsia="zh-CN" w:bidi="ar-SA"/>
              </w:rPr>
              <w:t>4、</w:t>
            </w:r>
            <w:r>
              <w:rPr>
                <w:rFonts w:hint="eastAsia" w:ascii="仿宋" w:hAnsi="仿宋" w:eastAsia="仿宋" w:cs="仿宋"/>
                <w:kern w:val="0"/>
                <w:sz w:val="24"/>
                <w:highlight w:val="none"/>
              </w:rPr>
              <w:t>如属于报折扣率（或下浮率）的项目，以折扣率（下浮率）的报价为准</w:t>
            </w:r>
            <w:r>
              <w:rPr>
                <w:rFonts w:hint="eastAsia" w:ascii="仿宋" w:hAnsi="仿宋" w:eastAsia="仿宋" w:cs="仿宋"/>
                <w:kern w:val="0"/>
                <w:sz w:val="24"/>
                <w:highlight w:val="none"/>
                <w:lang w:eastAsia="zh-CN"/>
              </w:rPr>
              <w:t>，折扣率计算错误适用本条款第3条修正规则</w:t>
            </w:r>
            <w:r>
              <w:rPr>
                <w:rFonts w:hint="eastAsia" w:ascii="仿宋" w:hAnsi="仿宋" w:eastAsia="仿宋" w:cs="仿宋"/>
                <w:kern w:val="0"/>
                <w:sz w:val="24"/>
                <w:highlight w:val="none"/>
              </w:rPr>
              <w:t>。</w:t>
            </w:r>
          </w:p>
          <w:p w14:paraId="2864D948">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注：供应商应在填报首次报价、最后报价时应仔细核对，因自身疏忽导致的错误自行承担后果。磋商小组拆封最后报价时发现上述错误的，须要求其在不改变报价实质性内容的前提下签字确认修正结果；供应商拒绝书面确认的，视为放弃最后报价，其响应文件按无效处理。</w:t>
            </w:r>
          </w:p>
        </w:tc>
      </w:tr>
      <w:tr w14:paraId="12108B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 w:hRule="atLeast"/>
          <w:jc w:val="center"/>
        </w:trPr>
        <w:tc>
          <w:tcPr>
            <w:tcW w:w="737" w:type="dxa"/>
            <w:vAlign w:val="center"/>
          </w:tcPr>
          <w:p w14:paraId="3C37AA9D">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11</w:t>
            </w:r>
          </w:p>
        </w:tc>
        <w:tc>
          <w:tcPr>
            <w:tcW w:w="964" w:type="dxa"/>
            <w:vAlign w:val="center"/>
          </w:tcPr>
          <w:p w14:paraId="6FEC210F">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22.2</w:t>
            </w:r>
          </w:p>
        </w:tc>
        <w:tc>
          <w:tcPr>
            <w:tcW w:w="8038" w:type="dxa"/>
            <w:vAlign w:val="center"/>
          </w:tcPr>
          <w:p w14:paraId="162D3666">
            <w:pPr>
              <w:pStyle w:val="15"/>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信息公告指定媒体（以下简称：“指定媒体”）：</w:t>
            </w:r>
          </w:p>
          <w:p w14:paraId="6C22EB91">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宋体"/>
                <w:b w:val="0"/>
                <w:bCs w:val="0"/>
                <w:kern w:val="0"/>
                <w:sz w:val="24"/>
                <w:szCs w:val="24"/>
                <w:highlight w:val="none"/>
              </w:rPr>
            </w:pPr>
            <w:r>
              <w:rPr>
                <w:rFonts w:hint="eastAsia" w:ascii="仿宋" w:hAnsi="仿宋" w:eastAsia="仿宋" w:cs="宋体"/>
                <w:b w:val="0"/>
                <w:bCs w:val="0"/>
                <w:kern w:val="0"/>
                <w:sz w:val="24"/>
                <w:szCs w:val="24"/>
                <w:highlight w:val="none"/>
              </w:rPr>
              <w:t>（1）厦门采购招标网（网址www.xmzfcg.com）</w:t>
            </w:r>
          </w:p>
          <w:p w14:paraId="00149C25">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宋体"/>
                <w:b w:val="0"/>
                <w:bCs w:val="0"/>
                <w:kern w:val="0"/>
                <w:sz w:val="24"/>
                <w:szCs w:val="24"/>
                <w:highlight w:val="none"/>
              </w:rPr>
            </w:pPr>
            <w:r>
              <w:rPr>
                <w:rFonts w:hint="eastAsia" w:ascii="仿宋" w:hAnsi="仿宋" w:eastAsia="仿宋" w:cs="宋体"/>
                <w:b w:val="0"/>
                <w:bCs w:val="0"/>
                <w:kern w:val="0"/>
                <w:sz w:val="24"/>
                <w:szCs w:val="24"/>
                <w:highlight w:val="none"/>
              </w:rPr>
              <w:t>（2）福建经发电子招标采购服务平台</w:t>
            </w:r>
          </w:p>
          <w:p w14:paraId="128A8602">
            <w:pPr>
              <w:pStyle w:val="15"/>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仿宋" w:hAnsi="仿宋" w:eastAsia="仿宋" w:cs="仿宋"/>
                <w:kern w:val="0"/>
                <w:sz w:val="24"/>
                <w:szCs w:val="24"/>
                <w:highlight w:val="none"/>
              </w:rPr>
            </w:pPr>
            <w:r>
              <w:rPr>
                <w:rFonts w:hint="eastAsia" w:ascii="仿宋" w:hAnsi="仿宋" w:eastAsia="仿宋" w:cs="宋体"/>
                <w:b w:val="0"/>
                <w:bCs w:val="0"/>
                <w:kern w:val="0"/>
                <w:sz w:val="24"/>
                <w:szCs w:val="24"/>
                <w:highlight w:val="none"/>
              </w:rPr>
              <w:t>（网址https</w:t>
            </w:r>
            <w:r>
              <w:rPr>
                <w:rFonts w:hint="eastAsia" w:ascii="仿宋" w:hAnsi="仿宋" w:eastAsia="仿宋" w:cs="宋体"/>
                <w:b w:val="0"/>
                <w:bCs w:val="0"/>
                <w:kern w:val="0"/>
                <w:sz w:val="24"/>
                <w:szCs w:val="24"/>
                <w:highlight w:val="none"/>
                <w:lang w:eastAsia="zh-CN"/>
              </w:rPr>
              <w:t>：</w:t>
            </w:r>
            <w:r>
              <w:rPr>
                <w:rFonts w:hint="eastAsia" w:ascii="仿宋" w:hAnsi="仿宋" w:eastAsia="仿宋" w:cs="宋体"/>
                <w:b w:val="0"/>
                <w:bCs w:val="0"/>
                <w:kern w:val="0"/>
                <w:sz w:val="24"/>
                <w:szCs w:val="24"/>
                <w:highlight w:val="none"/>
              </w:rPr>
              <w:t>//fjjf.hyebid.cn/hyweb/fjjfEbid/index.do）</w:t>
            </w:r>
          </w:p>
        </w:tc>
      </w:tr>
      <w:tr w14:paraId="46F6C3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4" w:hRule="atLeast"/>
          <w:jc w:val="center"/>
        </w:trPr>
        <w:tc>
          <w:tcPr>
            <w:tcW w:w="737" w:type="dxa"/>
            <w:vAlign w:val="center"/>
          </w:tcPr>
          <w:p w14:paraId="445DA988">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highlight w:val="none"/>
                <w:lang w:val="en-US" w:eastAsia="zh-CN"/>
              </w:rPr>
              <w:t>12</w:t>
            </w:r>
          </w:p>
        </w:tc>
        <w:tc>
          <w:tcPr>
            <w:tcW w:w="964" w:type="dxa"/>
            <w:vAlign w:val="center"/>
          </w:tcPr>
          <w:p w14:paraId="1724031A">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.1</w:t>
            </w:r>
          </w:p>
        </w:tc>
        <w:tc>
          <w:tcPr>
            <w:tcW w:w="8038" w:type="dxa"/>
            <w:vAlign w:val="center"/>
          </w:tcPr>
          <w:p w14:paraId="7669DE01">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履约保证金：</w:t>
            </w:r>
          </w:p>
          <w:p w14:paraId="3CD9FA50">
            <w:pPr>
              <w:pageBreakBefore w:val="0"/>
              <w:widowControl w:val="0"/>
              <w:kinsoku/>
              <w:wordWrap/>
              <w:overflowPunct/>
              <w:topLinePunct w:val="0"/>
              <w:autoSpaceDE/>
              <w:autoSpaceDN/>
              <w:bidi w:val="0"/>
              <w:adjustRightInd/>
              <w:snapToGrid/>
              <w:spacing w:line="360" w:lineRule="auto"/>
              <w:textAlignment w:val="auto"/>
              <w:rPr>
                <w:rFonts w:hint="eastAsia"/>
                <w:highlight w:val="none"/>
              </w:rPr>
            </w:pPr>
            <w:r>
              <w:rPr>
                <w:rFonts w:hint="eastAsia" w:ascii="仿宋" w:hAnsi="仿宋" w:eastAsia="仿宋" w:cs="仿宋"/>
                <w:sz w:val="24"/>
                <w:highlight w:val="none"/>
              </w:rPr>
              <w:t>采购包1：</w:t>
            </w:r>
            <w:r>
              <w:rPr>
                <w:rFonts w:hint="eastAsia" w:ascii="仿宋" w:hAnsi="仿宋" w:eastAsia="仿宋" w:cs="仿宋"/>
                <w:sz w:val="24"/>
                <w:highlight w:val="none"/>
                <w:lang w:val="en-US" w:eastAsia="zh-CN"/>
              </w:rPr>
              <w:t>不缴纳</w:t>
            </w:r>
          </w:p>
        </w:tc>
      </w:tr>
      <w:tr w14:paraId="4F4C75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4" w:hRule="atLeast"/>
          <w:jc w:val="center"/>
        </w:trPr>
        <w:tc>
          <w:tcPr>
            <w:tcW w:w="737" w:type="dxa"/>
            <w:vAlign w:val="center"/>
          </w:tcPr>
          <w:p w14:paraId="6189A8D8">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highlight w:val="none"/>
                <w:lang w:val="en-US" w:eastAsia="zh-CN"/>
              </w:rPr>
              <w:t>13</w:t>
            </w:r>
          </w:p>
        </w:tc>
        <w:tc>
          <w:tcPr>
            <w:tcW w:w="964" w:type="dxa"/>
            <w:vAlign w:val="center"/>
          </w:tcPr>
          <w:p w14:paraId="71C8C9F8">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26</w:t>
            </w:r>
          </w:p>
        </w:tc>
        <w:tc>
          <w:tcPr>
            <w:tcW w:w="8038" w:type="dxa"/>
            <w:vAlign w:val="center"/>
          </w:tcPr>
          <w:p w14:paraId="50BD604F">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根据采购项目特点或政策需要补充的其他新增内容：</w:t>
            </w:r>
          </w:p>
          <w:p w14:paraId="31E48FBA">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（1）本项目代理服务费由成交供应商支付。</w:t>
            </w:r>
          </w:p>
          <w:p w14:paraId="0D742D4D">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（2）其他：</w:t>
            </w:r>
          </w:p>
          <w:p w14:paraId="4054250B">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1.1本项目的采购</w:t>
            </w:r>
            <w:r>
              <w:rPr>
                <w:rFonts w:hint="eastAsia" w:ascii="仿宋" w:hAnsi="仿宋" w:eastAsia="仿宋" w:cs="仿宋"/>
                <w:kern w:val="0"/>
                <w:sz w:val="24"/>
                <w:highlight w:val="none"/>
                <w:lang w:eastAsia="zh-CN"/>
              </w:rPr>
              <w:t>代理</w:t>
            </w:r>
            <w:r>
              <w:rPr>
                <w:rFonts w:hint="eastAsia" w:ascii="仿宋" w:hAnsi="仿宋" w:eastAsia="仿宋" w:cs="仿宋"/>
                <w:kern w:val="0"/>
                <w:sz w:val="24"/>
                <w:highlight w:val="none"/>
              </w:rPr>
              <w:t>服务费由成交供应商支付，</w:t>
            </w:r>
            <w:r>
              <w:rPr>
                <w:rFonts w:hint="eastAsia" w:ascii="仿宋" w:hAnsi="仿宋" w:eastAsia="仿宋" w:cs="仿宋"/>
                <w:kern w:val="0"/>
                <w:sz w:val="24"/>
                <w:highlight w:val="none"/>
                <w:lang w:eastAsia="zh-CN"/>
              </w:rPr>
              <w:t>磋商文件</w:t>
            </w:r>
            <w:r>
              <w:rPr>
                <w:rFonts w:hint="eastAsia" w:ascii="仿宋" w:hAnsi="仿宋" w:eastAsia="仿宋" w:cs="仿宋"/>
                <w:kern w:val="0"/>
                <w:sz w:val="24"/>
                <w:highlight w:val="none"/>
              </w:rPr>
              <w:t>其他内容与本条款有冲突的，以本条款为准。</w:t>
            </w:r>
          </w:p>
          <w:p w14:paraId="0577AE57">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收费标准以单个</w:t>
            </w:r>
            <w:r>
              <w:rPr>
                <w:rFonts w:hint="eastAsia" w:ascii="仿宋" w:hAnsi="仿宋" w:eastAsia="仿宋" w:cs="仿宋"/>
                <w:kern w:val="0"/>
                <w:sz w:val="24"/>
                <w:highlight w:val="none"/>
                <w:lang w:eastAsia="zh-CN"/>
              </w:rPr>
              <w:t>采购包</w:t>
            </w:r>
            <w:r>
              <w:rPr>
                <w:rFonts w:hint="eastAsia" w:ascii="仿宋" w:hAnsi="仿宋" w:eastAsia="仿宋" w:cs="仿宋"/>
                <w:kern w:val="0"/>
                <w:sz w:val="24"/>
                <w:highlight w:val="none"/>
              </w:rPr>
              <w:t xml:space="preserve">的成交总金额为准，按差额定率累进法计取。本项目的项目类别及相应的收费标准如下： </w:t>
            </w:r>
          </w:p>
          <w:p w14:paraId="773D56FC">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工程：基数≤100万元部分，按1.0%计取；100万元＜基数≤500万元部分，按0.7%计取；</w:t>
            </w:r>
            <w:r>
              <w:rPr>
                <w:rFonts w:hint="eastAsia" w:ascii="仿宋" w:hAnsi="仿宋" w:eastAsia="仿宋" w:cs="仿宋"/>
                <w:kern w:val="0"/>
                <w:sz w:val="24"/>
                <w:highlight w:val="none"/>
              </w:rPr>
              <w:t>500万元＜基数≤1000万元部分，按0.</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5%计取；</w:t>
            </w:r>
            <w:r>
              <w:rPr>
                <w:rFonts w:hint="eastAsia" w:ascii="仿宋" w:hAnsi="仿宋" w:eastAsia="仿宋" w:cs="仿宋"/>
                <w:kern w:val="0"/>
                <w:sz w:val="24"/>
                <w:highlight w:val="none"/>
                <w:lang w:val="en-US" w:eastAsia="zh-CN"/>
              </w:rPr>
              <w:t>分段累进计算。</w:t>
            </w:r>
          </w:p>
          <w:p w14:paraId="630EF55A">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default" w:ascii="仿宋" w:hAnsi="仿宋" w:eastAsia="仿宋" w:cs="宋体"/>
                <w:kern w:val="0"/>
                <w:sz w:val="24"/>
                <w:highlight w:val="none"/>
              </w:rPr>
              <w:t>1.</w:t>
            </w:r>
            <w:r>
              <w:rPr>
                <w:rFonts w:hint="eastAsia" w:ascii="仿宋" w:hAnsi="仿宋" w:eastAsia="仿宋" w:cs="宋体"/>
                <w:kern w:val="0"/>
                <w:sz w:val="24"/>
                <w:highlight w:val="none"/>
                <w:lang w:val="en-US" w:eastAsia="zh-CN"/>
              </w:rPr>
              <w:t>3</w:t>
            </w:r>
            <w:r>
              <w:rPr>
                <w:rFonts w:hint="default" w:ascii="仿宋" w:hAnsi="仿宋" w:eastAsia="仿宋" w:cs="宋体"/>
                <w:kern w:val="0"/>
                <w:sz w:val="24"/>
                <w:highlight w:val="none"/>
              </w:rPr>
              <w:t>经认定符合中小企业政策规定且资料提供完整的</w:t>
            </w:r>
            <w:r>
              <w:rPr>
                <w:rFonts w:hint="eastAsia" w:ascii="仿宋" w:hAnsi="仿宋" w:eastAsia="仿宋" w:cs="宋体"/>
                <w:kern w:val="0"/>
                <w:sz w:val="24"/>
                <w:highlight w:val="none"/>
              </w:rPr>
              <w:t>成交供应商</w:t>
            </w:r>
            <w:r>
              <w:rPr>
                <w:rFonts w:hint="default" w:ascii="仿宋" w:hAnsi="仿宋" w:eastAsia="仿宋" w:cs="宋体"/>
                <w:kern w:val="0"/>
                <w:sz w:val="24"/>
                <w:highlight w:val="none"/>
              </w:rPr>
              <w:t>，其代理服务费按照</w:t>
            </w:r>
            <w:r>
              <w:rPr>
                <w:rFonts w:hint="eastAsia" w:ascii="仿宋" w:hAnsi="仿宋" w:eastAsia="仿宋" w:cs="宋体"/>
                <w:kern w:val="0"/>
                <w:sz w:val="24"/>
                <w:highlight w:val="none"/>
              </w:rPr>
              <w:t>上述</w:t>
            </w:r>
            <w:r>
              <w:rPr>
                <w:rFonts w:hint="default" w:ascii="仿宋" w:hAnsi="仿宋" w:eastAsia="仿宋" w:cs="宋体"/>
                <w:kern w:val="0"/>
                <w:sz w:val="24"/>
                <w:highlight w:val="none"/>
              </w:rPr>
              <w:t>收费标准下浮10%进行支付。</w:t>
            </w:r>
          </w:p>
          <w:p w14:paraId="5BCDF815">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备注：若</w:t>
            </w:r>
            <w:r>
              <w:rPr>
                <w:rFonts w:hint="eastAsia" w:ascii="仿宋" w:hAnsi="仿宋" w:eastAsia="仿宋" w:cs="仿宋"/>
                <w:kern w:val="0"/>
                <w:sz w:val="24"/>
                <w:highlight w:val="none"/>
                <w:lang w:eastAsia="zh-CN"/>
              </w:rPr>
              <w:t>代理</w:t>
            </w:r>
            <w:r>
              <w:rPr>
                <w:rFonts w:hint="eastAsia" w:ascii="仿宋" w:hAnsi="仿宋" w:eastAsia="仿宋" w:cs="仿宋"/>
                <w:kern w:val="0"/>
                <w:sz w:val="24"/>
                <w:highlight w:val="none"/>
              </w:rPr>
              <w:t>服务费不足￥3</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000.00</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人民币叁仟元整</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，则按￥3</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000.00</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人民币叁仟元整</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 xml:space="preserve">收取。 </w:t>
            </w:r>
          </w:p>
          <w:p w14:paraId="1EF3D7C6">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kern w:val="0"/>
                <w:sz w:val="24"/>
                <w:highlight w:val="none"/>
                <w:lang w:val="en-US" w:eastAsia="zh-CN"/>
              </w:rPr>
              <w:t>4</w:t>
            </w:r>
            <w:r>
              <w:rPr>
                <w:rFonts w:hint="eastAsia" w:ascii="仿宋" w:hAnsi="仿宋" w:eastAsia="仿宋" w:cs="仿宋"/>
                <w:kern w:val="0"/>
                <w:sz w:val="24"/>
                <w:highlight w:val="none"/>
              </w:rPr>
              <w:t>采购</w:t>
            </w:r>
            <w:r>
              <w:rPr>
                <w:rFonts w:hint="eastAsia" w:ascii="仿宋" w:hAnsi="仿宋" w:eastAsia="仿宋" w:cs="仿宋"/>
                <w:kern w:val="0"/>
                <w:sz w:val="24"/>
                <w:highlight w:val="none"/>
                <w:lang w:eastAsia="zh-CN"/>
              </w:rPr>
              <w:t>代理</w:t>
            </w:r>
            <w:r>
              <w:rPr>
                <w:rFonts w:hint="eastAsia" w:ascii="仿宋" w:hAnsi="仿宋" w:eastAsia="仿宋" w:cs="仿宋"/>
                <w:kern w:val="0"/>
                <w:sz w:val="24"/>
                <w:highlight w:val="none"/>
              </w:rPr>
              <w:t>服务费由成交供应商在领取成交通知书的同时，以转账、电汇、现金存款等付款方式一次性缴清。</w:t>
            </w:r>
          </w:p>
          <w:p w14:paraId="06D9B80D">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缴款账户：福建经发招标</w:t>
            </w:r>
            <w:r>
              <w:rPr>
                <w:rFonts w:hint="eastAsia" w:ascii="仿宋" w:hAnsi="仿宋" w:eastAsia="仿宋" w:cs="仿宋"/>
                <w:kern w:val="0"/>
                <w:sz w:val="24"/>
                <w:highlight w:val="none"/>
                <w:lang w:eastAsia="zh-CN"/>
              </w:rPr>
              <w:t>代理</w:t>
            </w:r>
            <w:r>
              <w:rPr>
                <w:rFonts w:hint="eastAsia" w:ascii="仿宋" w:hAnsi="仿宋" w:eastAsia="仿宋" w:cs="仿宋"/>
                <w:kern w:val="0"/>
                <w:sz w:val="24"/>
                <w:highlight w:val="none"/>
              </w:rPr>
              <w:t>有限公司，开户行：中国农业银行股份有限公司厦门莲前支行，账号：4038 6001 0400 33344，财务联系人：罗小姐0592-5990719。</w:t>
            </w:r>
          </w:p>
          <w:p w14:paraId="4D469E0F">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（3）质疑补充说明：质疑函可以通过当面送达、邮寄、电子邮件的方式送达。联系电话：0592-5990717，邮箱：</w:t>
            </w:r>
            <w:r>
              <w:rPr>
                <w:rFonts w:hint="eastAsia" w:ascii="仿宋" w:hAnsi="仿宋" w:eastAsia="仿宋" w:cs="仿宋"/>
                <w:kern w:val="0"/>
                <w:sz w:val="24"/>
                <w:highlight w:val="none"/>
                <w:lang w:eastAsia="zh-CN"/>
              </w:rPr>
              <w:t>fjjfzb@163.com</w:t>
            </w:r>
            <w:r>
              <w:rPr>
                <w:rFonts w:hint="eastAsia" w:ascii="仿宋" w:hAnsi="仿宋" w:eastAsia="仿宋" w:cs="仿宋"/>
                <w:kern w:val="0"/>
                <w:sz w:val="24"/>
                <w:highlight w:val="none"/>
              </w:rPr>
              <w:t>。通讯地址：厦门市思明区湖滨南路359号海晟国际大厦24层2401。</w:t>
            </w:r>
          </w:p>
        </w:tc>
      </w:tr>
      <w:tr w14:paraId="0B0A6C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37" w:type="dxa"/>
            <w:vAlign w:val="center"/>
          </w:tcPr>
          <w:p w14:paraId="4641BE46">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highlight w:val="none"/>
                <w:lang w:val="en-US" w:eastAsia="zh-CN"/>
              </w:rPr>
              <w:t>14</w:t>
            </w:r>
          </w:p>
        </w:tc>
        <w:tc>
          <w:tcPr>
            <w:tcW w:w="964" w:type="dxa"/>
            <w:vAlign w:val="center"/>
          </w:tcPr>
          <w:p w14:paraId="20A4FC27">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18.1</w:t>
            </w:r>
          </w:p>
        </w:tc>
        <w:tc>
          <w:tcPr>
            <w:tcW w:w="8038" w:type="dxa"/>
            <w:vAlign w:val="center"/>
          </w:tcPr>
          <w:p w14:paraId="51755FFE">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合同签订时限：自</w:t>
            </w:r>
            <w:r>
              <w:rPr>
                <w:rFonts w:hint="eastAsia" w:ascii="仿宋" w:hAnsi="仿宋" w:eastAsia="仿宋" w:cs="仿宋"/>
                <w:b/>
                <w:bCs/>
                <w:kern w:val="0"/>
                <w:sz w:val="24"/>
                <w:highlight w:val="none"/>
                <w:lang w:eastAsia="zh-CN"/>
              </w:rPr>
              <w:t>成交</w:t>
            </w:r>
            <w:r>
              <w:rPr>
                <w:rFonts w:hint="eastAsia" w:ascii="仿宋" w:hAnsi="仿宋" w:eastAsia="仿宋" w:cs="仿宋"/>
                <w:b/>
                <w:bCs/>
                <w:kern w:val="0"/>
                <w:sz w:val="24"/>
                <w:highlight w:val="none"/>
              </w:rPr>
              <w:t>通知书发出之日起</w:t>
            </w:r>
            <w:r>
              <w:rPr>
                <w:rFonts w:hint="eastAsia" w:ascii="仿宋" w:hAnsi="仿宋" w:eastAsia="仿宋" w:cs="仿宋"/>
                <w:b/>
                <w:bCs/>
                <w:kern w:val="0"/>
                <w:sz w:val="24"/>
                <w:highlight w:val="none"/>
                <w:lang w:val="en-US" w:eastAsia="zh-CN"/>
              </w:rPr>
              <w:t>20</w:t>
            </w:r>
            <w:r>
              <w:rPr>
                <w:rFonts w:hint="eastAsia" w:ascii="仿宋" w:hAnsi="仿宋" w:eastAsia="仿宋" w:cs="仿宋"/>
                <w:b/>
                <w:bCs/>
                <w:kern w:val="0"/>
                <w:sz w:val="24"/>
                <w:highlight w:val="none"/>
              </w:rPr>
              <w:t>个日历日内。</w:t>
            </w:r>
          </w:p>
        </w:tc>
      </w:tr>
    </w:tbl>
    <w:p w14:paraId="11732151">
      <w:pPr>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kern w:val="0"/>
          <w:highlight w:val="none"/>
        </w:rPr>
        <w:sectPr>
          <w:pgSz w:w="11906" w:h="16838"/>
          <w:pgMar w:top="1440" w:right="1080" w:bottom="1440" w:left="1080" w:header="851" w:footer="992" w:gutter="0"/>
          <w:cols w:space="0" w:num="1"/>
          <w:docGrid w:type="lines" w:linePitch="312" w:charSpace="0"/>
        </w:sectPr>
      </w:pPr>
    </w:p>
    <w:p w14:paraId="3F30DDD9">
      <w:pPr>
        <w:pStyle w:val="15"/>
        <w:pageBreakBefore w:val="0"/>
        <w:widowControl w:val="0"/>
        <w:kinsoku/>
        <w:wordWrap/>
        <w:overflowPunct/>
        <w:topLinePunct w:val="0"/>
        <w:autoSpaceDE/>
        <w:autoSpaceDN/>
        <w:bidi w:val="0"/>
        <w:adjustRightInd/>
        <w:snapToGrid/>
        <w:spacing w:before="75" w:after="75" w:line="360" w:lineRule="auto"/>
        <w:ind w:firstLineChars="200"/>
        <w:jc w:val="center"/>
        <w:textAlignment w:val="auto"/>
        <w:outlineLvl w:val="1"/>
        <w:rPr>
          <w:rFonts w:hint="eastAsia" w:ascii="仿宋" w:hAnsi="仿宋" w:eastAsia="仿宋" w:cs="仿宋"/>
          <w:b/>
          <w:bCs/>
          <w:kern w:val="0"/>
          <w:sz w:val="28"/>
          <w:szCs w:val="32"/>
          <w:highlight w:val="none"/>
        </w:rPr>
      </w:pPr>
      <w:bookmarkStart w:id="3" w:name="_Toc32279"/>
      <w:r>
        <w:rPr>
          <w:rFonts w:hint="eastAsia" w:ascii="仿宋" w:hAnsi="仿宋" w:eastAsia="仿宋" w:cs="仿宋"/>
          <w:b/>
          <w:bCs/>
          <w:sz w:val="28"/>
          <w:szCs w:val="32"/>
          <w:highlight w:val="none"/>
        </w:rPr>
        <w:t>第</w:t>
      </w:r>
      <w:r>
        <w:rPr>
          <w:rFonts w:hint="eastAsia" w:ascii="仿宋" w:hAnsi="仿宋" w:eastAsia="仿宋" w:cs="仿宋"/>
          <w:b/>
          <w:bCs/>
          <w:sz w:val="28"/>
          <w:szCs w:val="32"/>
          <w:highlight w:val="none"/>
          <w:lang w:val="en-US" w:eastAsia="zh-CN"/>
        </w:rPr>
        <w:t>2</w:t>
      </w:r>
      <w:r>
        <w:rPr>
          <w:rFonts w:hint="eastAsia" w:ascii="仿宋" w:hAnsi="仿宋" w:eastAsia="仿宋" w:cs="仿宋"/>
          <w:b/>
          <w:bCs/>
          <w:sz w:val="28"/>
          <w:szCs w:val="32"/>
          <w:highlight w:val="none"/>
        </w:rPr>
        <w:t xml:space="preserve">节  </w:t>
      </w:r>
      <w:r>
        <w:rPr>
          <w:rFonts w:hint="eastAsia" w:ascii="仿宋" w:hAnsi="仿宋" w:eastAsia="仿宋" w:cs="仿宋"/>
          <w:b/>
          <w:bCs/>
          <w:kern w:val="0"/>
          <w:sz w:val="28"/>
          <w:szCs w:val="32"/>
          <w:highlight w:val="none"/>
        </w:rPr>
        <w:t>采购标的清单</w:t>
      </w:r>
      <w:bookmarkEnd w:id="3"/>
    </w:p>
    <w:p w14:paraId="1ACDDFAA">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（供应商按此清单的内容出具《中小企业声明函》）</w:t>
      </w:r>
    </w:p>
    <w:tbl>
      <w:tblPr>
        <w:tblStyle w:val="19"/>
        <w:tblW w:w="9703"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116"/>
        <w:gridCol w:w="2693"/>
        <w:gridCol w:w="5894"/>
      </w:tblGrid>
      <w:tr w14:paraId="548748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116" w:type="dxa"/>
            <w:vAlign w:val="center"/>
          </w:tcPr>
          <w:p w14:paraId="4950CE41">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序号</w:t>
            </w:r>
          </w:p>
        </w:tc>
        <w:tc>
          <w:tcPr>
            <w:tcW w:w="2693" w:type="dxa"/>
            <w:vAlign w:val="center"/>
          </w:tcPr>
          <w:p w14:paraId="1B0645F2">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采购标的名 称</w:t>
            </w:r>
          </w:p>
        </w:tc>
        <w:tc>
          <w:tcPr>
            <w:tcW w:w="5894" w:type="dxa"/>
            <w:vAlign w:val="center"/>
          </w:tcPr>
          <w:p w14:paraId="47D55575">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采购标的对应的中小企业划分标准所属行业</w:t>
            </w:r>
          </w:p>
        </w:tc>
      </w:tr>
      <w:tr w14:paraId="509B7F1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116" w:type="dxa"/>
            <w:vAlign w:val="center"/>
          </w:tcPr>
          <w:p w14:paraId="4848FCBF">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w:t>
            </w:r>
          </w:p>
        </w:tc>
        <w:tc>
          <w:tcPr>
            <w:tcW w:w="2693" w:type="dxa"/>
            <w:vAlign w:val="center"/>
          </w:tcPr>
          <w:p w14:paraId="2B11E17D">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u w:val="single"/>
                <w:lang w:eastAsia="zh-CN"/>
              </w:rPr>
              <w:t>思明校区初中部二次供水改造项目</w:t>
            </w:r>
          </w:p>
        </w:tc>
        <w:tc>
          <w:tcPr>
            <w:tcW w:w="5894" w:type="dxa"/>
            <w:vAlign w:val="center"/>
          </w:tcPr>
          <w:p w14:paraId="68479047">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建筑业</w:t>
            </w:r>
          </w:p>
        </w:tc>
      </w:tr>
      <w:tr w14:paraId="6CA0BF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 w:hRule="atLeast"/>
          <w:jc w:val="center"/>
        </w:trPr>
        <w:tc>
          <w:tcPr>
            <w:tcW w:w="9703" w:type="dxa"/>
            <w:gridSpan w:val="3"/>
          </w:tcPr>
          <w:p w14:paraId="02E1EF6D">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（1）本采购项目属性为：【</w:t>
            </w:r>
            <w:r>
              <w:rPr>
                <w:rFonts w:hint="eastAsia" w:ascii="仿宋" w:hAnsi="仿宋" w:eastAsia="仿宋" w:cs="仿宋"/>
                <w:kern w:val="0"/>
                <w:sz w:val="24"/>
                <w:highlight w:val="none"/>
                <w:lang w:val="en-US" w:eastAsia="zh-CN"/>
              </w:rPr>
              <w:t xml:space="preserve">  </w:t>
            </w:r>
            <w:r>
              <w:rPr>
                <w:rFonts w:hint="eastAsia" w:ascii="仿宋" w:hAnsi="仿宋" w:eastAsia="仿宋" w:cs="仿宋"/>
                <w:kern w:val="0"/>
                <w:sz w:val="24"/>
                <w:highlight w:val="none"/>
              </w:rPr>
              <w:t>】货物类；【　】服务类；【</w:t>
            </w:r>
            <w:r>
              <w:rPr>
                <w:rFonts w:hint="eastAsia" w:ascii="仿宋" w:hAnsi="仿宋" w:eastAsia="仿宋" w:cs="仿宋"/>
                <w:kern w:val="0"/>
                <w:sz w:val="24"/>
                <w:highlight w:val="none"/>
                <w:lang w:val="en-US" w:eastAsia="zh-CN"/>
              </w:rPr>
              <w:t>√</w:t>
            </w:r>
            <w:r>
              <w:rPr>
                <w:rFonts w:hint="eastAsia" w:ascii="仿宋" w:hAnsi="仿宋" w:eastAsia="仿宋" w:cs="仿宋"/>
                <w:kern w:val="0"/>
                <w:sz w:val="24"/>
                <w:highlight w:val="none"/>
              </w:rPr>
              <w:t>】工程类。</w:t>
            </w:r>
          </w:p>
          <w:p w14:paraId="1FDD413F">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（2）本采购项目以下列方式落实中小企业扶持政策：</w:t>
            </w:r>
          </w:p>
          <w:p w14:paraId="5D3D79EF">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w:t>
            </w:r>
            <w:r>
              <w:rPr>
                <w:rFonts w:hint="eastAsia" w:ascii="仿宋" w:hAnsi="仿宋" w:eastAsia="仿宋" w:cs="仿宋"/>
                <w:kern w:val="0"/>
                <w:sz w:val="24"/>
                <w:highlight w:val="none"/>
              </w:rPr>
              <w:t>】资格条件（具体规定详见第一章</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.2特定条件）</w:t>
            </w:r>
          </w:p>
          <w:p w14:paraId="1D5FCC07">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 xml:space="preserve">   </w:t>
            </w:r>
            <w:r>
              <w:rPr>
                <w:rFonts w:hint="eastAsia" w:ascii="仿宋" w:hAnsi="仿宋" w:eastAsia="仿宋" w:cs="仿宋"/>
                <w:kern w:val="0"/>
                <w:sz w:val="24"/>
                <w:highlight w:val="none"/>
              </w:rPr>
              <w:t>】价格评审优惠（具体规定详见第二章3.1评审的标准和方法）</w:t>
            </w:r>
          </w:p>
        </w:tc>
      </w:tr>
    </w:tbl>
    <w:p w14:paraId="6976858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val="0"/>
          <w:bCs w:val="0"/>
          <w:sz w:val="24"/>
          <w:highlight w:val="none"/>
          <w:u w:val="none"/>
        </w:rPr>
      </w:pPr>
      <w:r>
        <w:rPr>
          <w:rFonts w:hint="eastAsia" w:ascii="仿宋" w:hAnsi="仿宋" w:eastAsia="仿宋" w:cs="仿宋"/>
          <w:b/>
          <w:bCs/>
          <w:kern w:val="0"/>
          <w:sz w:val="24"/>
          <w:szCs w:val="24"/>
          <w:highlight w:val="none"/>
          <w:lang w:val="en-US" w:eastAsia="zh-CN"/>
        </w:rPr>
        <w:t>说明：符合</w:t>
      </w:r>
      <w:r>
        <w:rPr>
          <w:rFonts w:hint="eastAsia" w:ascii="仿宋" w:hAnsi="仿宋" w:eastAsia="仿宋" w:cs="仿宋"/>
          <w:b/>
          <w:bCs/>
          <w:kern w:val="0"/>
          <w:sz w:val="24"/>
          <w:szCs w:val="24"/>
          <w:highlight w:val="none"/>
        </w:rPr>
        <w:t>中小企业扶持政策需满足以下条件：</w:t>
      </w:r>
    </w:p>
    <w:p w14:paraId="6517425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sz w:val="24"/>
          <w:highlight w:val="none"/>
        </w:rPr>
      </w:pPr>
      <w:r>
        <w:rPr>
          <w:rFonts w:hint="eastAsia" w:ascii="仿宋" w:hAnsi="仿宋" w:eastAsia="仿宋" w:cs="仿宋"/>
          <w:sz w:val="24"/>
          <w:highlight w:val="none"/>
        </w:rPr>
        <w:t>（1）供应商为中小企业，本项目工程全部由供应商承建，即工程施工单位为中小企业。若供应商与大企业的负责人为同一人，或者与大企业存在直接控股、管理关系的，</w:t>
      </w:r>
      <w:r>
        <w:rPr>
          <w:rFonts w:hint="eastAsia" w:ascii="仿宋" w:hAnsi="仿宋" w:eastAsia="仿宋" w:cs="仿宋"/>
          <w:kern w:val="2"/>
          <w:sz w:val="24"/>
          <w:szCs w:val="24"/>
          <w:highlight w:val="none"/>
        </w:rPr>
        <w:t>视为不属于中小企业</w:t>
      </w:r>
      <w:r>
        <w:rPr>
          <w:rFonts w:hint="eastAsia" w:ascii="仿宋" w:hAnsi="仿宋" w:eastAsia="仿宋" w:cs="仿宋"/>
          <w:kern w:val="2"/>
          <w:sz w:val="24"/>
          <w:szCs w:val="24"/>
          <w:highlight w:val="none"/>
          <w:lang w:eastAsia="zh-CN"/>
        </w:rPr>
        <w:t>，</w:t>
      </w:r>
      <w:r>
        <w:rPr>
          <w:rFonts w:hint="eastAsia" w:ascii="仿宋" w:hAnsi="仿宋" w:eastAsia="仿宋"/>
          <w:kern w:val="0"/>
          <w:sz w:val="24"/>
          <w:szCs w:val="24"/>
          <w:highlight w:val="none"/>
          <w:lang w:eastAsia="zh-CN"/>
        </w:rPr>
        <w:t>其</w:t>
      </w:r>
      <w:r>
        <w:rPr>
          <w:rFonts w:hint="eastAsia" w:ascii="仿宋" w:hAnsi="仿宋" w:eastAsia="仿宋"/>
          <w:kern w:val="0"/>
          <w:sz w:val="24"/>
          <w:szCs w:val="24"/>
          <w:highlight w:val="none"/>
          <w:lang w:val="en-US" w:eastAsia="zh-CN"/>
        </w:rPr>
        <w:t>响应</w:t>
      </w:r>
      <w:r>
        <w:rPr>
          <w:rFonts w:hint="eastAsia" w:ascii="仿宋" w:hAnsi="仿宋" w:eastAsia="仿宋"/>
          <w:kern w:val="0"/>
          <w:sz w:val="24"/>
          <w:szCs w:val="24"/>
          <w:highlight w:val="none"/>
          <w:lang w:eastAsia="zh-CN"/>
        </w:rPr>
        <w:t>无效</w:t>
      </w:r>
      <w:r>
        <w:rPr>
          <w:rFonts w:hint="eastAsia" w:ascii="仿宋" w:hAnsi="仿宋" w:eastAsia="仿宋" w:cs="仿宋"/>
          <w:sz w:val="24"/>
          <w:highlight w:val="none"/>
        </w:rPr>
        <w:t>。</w:t>
      </w:r>
    </w:p>
    <w:p w14:paraId="32AB835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sz w:val="24"/>
          <w:highlight w:val="none"/>
        </w:rPr>
      </w:pPr>
      <w:r>
        <w:rPr>
          <w:rFonts w:hint="eastAsia" w:ascii="仿宋" w:hAnsi="仿宋" w:eastAsia="仿宋" w:cs="仿宋"/>
          <w:sz w:val="24"/>
          <w:highlight w:val="none"/>
        </w:rPr>
        <w:t>（2）以联合体形式参加采购活动，联合体各方均需为中小企业，否则</w:t>
      </w:r>
      <w:r>
        <w:rPr>
          <w:rFonts w:hint="eastAsia" w:ascii="仿宋" w:hAnsi="仿宋" w:eastAsia="仿宋" w:cs="仿宋"/>
          <w:kern w:val="0"/>
          <w:sz w:val="24"/>
          <w:szCs w:val="24"/>
          <w:highlight w:val="none"/>
        </w:rPr>
        <w:t>视为不属于中小企业</w:t>
      </w:r>
      <w:r>
        <w:rPr>
          <w:rFonts w:hint="eastAsia" w:ascii="仿宋" w:hAnsi="仿宋" w:eastAsia="仿宋" w:cs="仿宋"/>
          <w:kern w:val="0"/>
          <w:sz w:val="24"/>
          <w:szCs w:val="24"/>
          <w:highlight w:val="none"/>
          <w:lang w:eastAsia="zh-CN"/>
        </w:rPr>
        <w:t>，</w:t>
      </w:r>
      <w:r>
        <w:rPr>
          <w:rFonts w:hint="eastAsia" w:ascii="仿宋" w:hAnsi="仿宋" w:eastAsia="仿宋"/>
          <w:kern w:val="0"/>
          <w:sz w:val="24"/>
          <w:szCs w:val="24"/>
          <w:highlight w:val="none"/>
          <w:lang w:eastAsia="zh-CN"/>
        </w:rPr>
        <w:t>其</w:t>
      </w:r>
      <w:r>
        <w:rPr>
          <w:rFonts w:hint="eastAsia" w:ascii="仿宋" w:hAnsi="仿宋" w:eastAsia="仿宋"/>
          <w:kern w:val="0"/>
          <w:sz w:val="24"/>
          <w:szCs w:val="24"/>
          <w:highlight w:val="none"/>
          <w:lang w:val="en-US" w:eastAsia="zh-CN"/>
        </w:rPr>
        <w:t>响应</w:t>
      </w:r>
      <w:r>
        <w:rPr>
          <w:rFonts w:hint="eastAsia" w:ascii="仿宋" w:hAnsi="仿宋" w:eastAsia="仿宋"/>
          <w:kern w:val="0"/>
          <w:sz w:val="24"/>
          <w:szCs w:val="24"/>
          <w:highlight w:val="none"/>
          <w:lang w:eastAsia="zh-CN"/>
        </w:rPr>
        <w:t>无效</w:t>
      </w:r>
      <w:r>
        <w:rPr>
          <w:rFonts w:hint="eastAsia" w:ascii="仿宋" w:hAnsi="仿宋" w:eastAsia="仿宋" w:cs="仿宋"/>
          <w:sz w:val="24"/>
          <w:highlight w:val="none"/>
        </w:rPr>
        <w:t>。</w:t>
      </w:r>
    </w:p>
    <w:p w14:paraId="7EE09BB4">
      <w:pPr>
        <w:pStyle w:val="2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rPr>
        <w:t>注意</w:t>
      </w:r>
      <w:r>
        <w:rPr>
          <w:rFonts w:hint="eastAsia" w:ascii="仿宋" w:hAnsi="仿宋" w:eastAsia="仿宋" w:cs="仿宋"/>
          <w:sz w:val="24"/>
          <w:highlight w:val="none"/>
          <w:lang w:eastAsia="zh-CN"/>
        </w:rPr>
        <w:t>：</w:t>
      </w:r>
    </w:p>
    <w:p w14:paraId="7D1B6929">
      <w:pPr>
        <w:pStyle w:val="24"/>
        <w:spacing w:line="360" w:lineRule="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1</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监狱企业视同小型、微型企业，若</w:t>
      </w:r>
      <w:r>
        <w:rPr>
          <w:rFonts w:hint="eastAsia" w:ascii="仿宋" w:hAnsi="仿宋" w:eastAsia="仿宋" w:cs="仿宋"/>
          <w:sz w:val="24"/>
          <w:highlight w:val="none"/>
        </w:rPr>
        <w:t>承建</w:t>
      </w:r>
      <w:r>
        <w:rPr>
          <w:rFonts w:hint="eastAsia" w:ascii="仿宋" w:hAnsi="仿宋" w:eastAsia="仿宋" w:cs="仿宋"/>
          <w:kern w:val="0"/>
          <w:sz w:val="24"/>
          <w:szCs w:val="24"/>
          <w:highlight w:val="none"/>
        </w:rPr>
        <w:t>企业为监狱企业的，提供由省级以上监狱管理局、戒毒管理局（含新疆生产建设兵团）出具的属于监狱企业的</w:t>
      </w:r>
      <w:r>
        <w:rPr>
          <w:rFonts w:hint="eastAsia" w:ascii="仿宋" w:hAnsi="仿宋" w:eastAsia="仿宋" w:cs="仿宋"/>
          <w:kern w:val="0"/>
          <w:sz w:val="24"/>
          <w:szCs w:val="24"/>
          <w:highlight w:val="none"/>
          <w:lang w:eastAsia="zh-CN"/>
        </w:rPr>
        <w:t>证明文件</w:t>
      </w:r>
      <w:r>
        <w:rPr>
          <w:rFonts w:hint="eastAsia" w:ascii="仿宋" w:hAnsi="仿宋" w:eastAsia="仿宋" w:cs="仿宋"/>
          <w:kern w:val="0"/>
          <w:sz w:val="24"/>
          <w:szCs w:val="24"/>
          <w:highlight w:val="none"/>
        </w:rPr>
        <w:t>。</w:t>
      </w:r>
    </w:p>
    <w:p w14:paraId="261B501E">
      <w:pPr>
        <w:pStyle w:val="24"/>
        <w:spacing w:line="360" w:lineRule="auto"/>
        <w:rPr>
          <w:rFonts w:hint="eastAsia" w:ascii="仿宋" w:hAnsi="仿宋" w:eastAsia="仿宋" w:cs="仿宋"/>
          <w:kern w:val="0"/>
          <w:sz w:val="24"/>
          <w:szCs w:val="24"/>
          <w:highlight w:val="none"/>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2</w:t>
      </w:r>
      <w:r>
        <w:rPr>
          <w:rFonts w:hint="eastAsia" w:ascii="仿宋" w:hAnsi="仿宋" w:eastAsia="仿宋" w:cs="仿宋"/>
          <w:sz w:val="24"/>
          <w:highlight w:val="none"/>
          <w:lang w:eastAsia="zh-CN"/>
        </w:rPr>
        <w:t>）</w:t>
      </w:r>
      <w:r>
        <w:rPr>
          <w:rFonts w:hint="eastAsia" w:ascii="仿宋" w:hAnsi="仿宋" w:eastAsia="仿宋" w:cs="仿宋"/>
          <w:kern w:val="0"/>
          <w:sz w:val="24"/>
          <w:szCs w:val="24"/>
          <w:highlight w:val="none"/>
        </w:rPr>
        <w:t>残疾人福利性单位视同小型、微型企业，若</w:t>
      </w:r>
      <w:r>
        <w:rPr>
          <w:rFonts w:hint="eastAsia" w:ascii="仿宋" w:hAnsi="仿宋" w:eastAsia="仿宋" w:cs="仿宋"/>
          <w:sz w:val="24"/>
          <w:highlight w:val="none"/>
        </w:rPr>
        <w:t>承建</w:t>
      </w:r>
      <w:r>
        <w:rPr>
          <w:rFonts w:hint="eastAsia" w:ascii="仿宋" w:hAnsi="仿宋" w:eastAsia="仿宋" w:cs="仿宋"/>
          <w:kern w:val="0"/>
          <w:sz w:val="24"/>
          <w:szCs w:val="24"/>
          <w:highlight w:val="none"/>
        </w:rPr>
        <w:t>企业为残疾人福利性单位的，提供《残疾人福利性单位声明函》。</w:t>
      </w:r>
    </w:p>
    <w:p w14:paraId="4AECF2BA">
      <w:pPr>
        <w:pStyle w:val="2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lang w:eastAsia="zh-CN"/>
        </w:rPr>
        <w:t>）组成联合体或者接受分包合同的中小企业与联合体内其他企业、分包企业之间不得存在直接控股、管理关系。</w:t>
      </w:r>
    </w:p>
    <w:p w14:paraId="437D2931">
      <w:pPr>
        <w:pStyle w:val="2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4</w:t>
      </w:r>
      <w:r>
        <w:rPr>
          <w:rFonts w:hint="eastAsia" w:ascii="仿宋" w:hAnsi="仿宋" w:eastAsia="仿宋" w:cs="仿宋"/>
          <w:sz w:val="24"/>
          <w:highlight w:val="none"/>
          <w:lang w:eastAsia="zh-CN"/>
        </w:rPr>
        <w:t>）</w:t>
      </w:r>
      <w:r>
        <w:rPr>
          <w:rFonts w:hint="eastAsia" w:ascii="仿宋" w:hAnsi="仿宋" w:eastAsia="仿宋" w:cs="仿宋"/>
          <w:sz w:val="24"/>
          <w:highlight w:val="none"/>
        </w:rPr>
        <w:t>请供应商根据《关于印发中小企业划型标准规定的通知》（工信部联企业〔2011〕300号）规定的标准对企业规模进行认定。中小企业包括中型企业、小型企业、微型企业。</w:t>
      </w:r>
    </w:p>
    <w:p w14:paraId="2AF8CCD5">
      <w:pPr>
        <w:pStyle w:val="2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5</w:t>
      </w:r>
      <w:r>
        <w:rPr>
          <w:rFonts w:hint="eastAsia" w:ascii="仿宋" w:hAnsi="仿宋" w:eastAsia="仿宋" w:cs="仿宋"/>
          <w:sz w:val="24"/>
          <w:highlight w:val="none"/>
          <w:lang w:eastAsia="zh-CN"/>
        </w:rPr>
        <w:t>）</w:t>
      </w:r>
      <w:r>
        <w:rPr>
          <w:rFonts w:hint="eastAsia" w:ascii="仿宋" w:hAnsi="仿宋" w:eastAsia="仿宋" w:cs="仿宋"/>
          <w:sz w:val="24"/>
          <w:highlight w:val="none"/>
        </w:rPr>
        <w:t>供应商</w:t>
      </w:r>
      <w:r>
        <w:rPr>
          <w:rFonts w:hint="eastAsia" w:ascii="仿宋" w:hAnsi="仿宋" w:eastAsia="仿宋" w:cs="仿宋"/>
          <w:sz w:val="24"/>
          <w:highlight w:val="none"/>
          <w:lang w:val="en-US" w:eastAsia="zh-CN"/>
        </w:rPr>
        <w:t>应当按照磋商文件中明确的采购标的对应行业出具</w:t>
      </w:r>
      <w:r>
        <w:rPr>
          <w:rFonts w:hint="eastAsia" w:ascii="仿宋" w:hAnsi="仿宋" w:eastAsia="仿宋" w:cs="仿宋"/>
          <w:sz w:val="24"/>
          <w:highlight w:val="none"/>
        </w:rPr>
        <w:t>《中小企业声明函》</w:t>
      </w:r>
      <w:r>
        <w:rPr>
          <w:rFonts w:hint="eastAsia" w:ascii="仿宋" w:hAnsi="仿宋" w:eastAsia="仿宋" w:cs="仿宋"/>
          <w:sz w:val="24"/>
          <w:highlight w:val="none"/>
          <w:lang w:val="en-US" w:eastAsia="zh-CN"/>
        </w:rPr>
        <w:t>，而不是按照</w:t>
      </w:r>
      <w:r>
        <w:rPr>
          <w:rFonts w:hint="eastAsia" w:ascii="仿宋" w:hAnsi="仿宋" w:eastAsia="仿宋" w:cs="仿宋"/>
          <w:sz w:val="24"/>
          <w:highlight w:val="none"/>
        </w:rPr>
        <w:t>供应商</w:t>
      </w:r>
      <w:r>
        <w:rPr>
          <w:rFonts w:hint="eastAsia" w:ascii="仿宋" w:hAnsi="仿宋" w:eastAsia="仿宋" w:cs="仿宋"/>
          <w:sz w:val="24"/>
          <w:highlight w:val="none"/>
          <w:lang w:val="en-US" w:eastAsia="zh-CN"/>
        </w:rPr>
        <w:t>的经营范围出具</w:t>
      </w:r>
      <w:r>
        <w:rPr>
          <w:rFonts w:hint="eastAsia" w:ascii="仿宋" w:hAnsi="仿宋" w:eastAsia="仿宋" w:cs="仿宋"/>
          <w:sz w:val="24"/>
          <w:highlight w:val="none"/>
        </w:rPr>
        <w:t>《中小企业声明函》否则，将导致</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无效</w:t>
      </w:r>
      <w:r>
        <w:rPr>
          <w:rFonts w:hint="eastAsia" w:ascii="仿宋" w:hAnsi="仿宋" w:eastAsia="仿宋" w:cs="仿宋"/>
          <w:sz w:val="24"/>
          <w:highlight w:val="none"/>
          <w:lang w:val="en-US" w:eastAsia="zh-CN"/>
        </w:rPr>
        <w:t>。</w:t>
      </w:r>
    </w:p>
    <w:p w14:paraId="79E27D1A">
      <w:pPr>
        <w:pStyle w:val="2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应当对其出具的《中小企业声明函》真实性负责，</w:t>
      </w:r>
      <w:r>
        <w:rPr>
          <w:rFonts w:hint="eastAsia" w:ascii="仿宋" w:hAnsi="仿宋" w:eastAsia="仿宋" w:cs="仿宋"/>
          <w:sz w:val="24"/>
          <w:highlight w:val="none"/>
          <w:lang w:eastAsia="zh-CN"/>
        </w:rPr>
        <w:t>成交</w:t>
      </w:r>
      <w:r>
        <w:rPr>
          <w:rFonts w:hint="eastAsia" w:ascii="仿宋" w:hAnsi="仿宋" w:eastAsia="仿宋" w:cs="仿宋"/>
          <w:sz w:val="24"/>
          <w:highlight w:val="none"/>
        </w:rPr>
        <w:t>结果将同时公告</w:t>
      </w:r>
      <w:r>
        <w:rPr>
          <w:rFonts w:hint="eastAsia" w:ascii="仿宋" w:hAnsi="仿宋" w:eastAsia="仿宋" w:cs="仿宋"/>
          <w:sz w:val="24"/>
          <w:highlight w:val="none"/>
          <w:lang w:eastAsia="zh-CN"/>
        </w:rPr>
        <w:t>成交供应商</w:t>
      </w:r>
      <w:r>
        <w:rPr>
          <w:rFonts w:hint="eastAsia" w:ascii="仿宋" w:hAnsi="仿宋" w:eastAsia="仿宋" w:cs="仿宋"/>
          <w:sz w:val="24"/>
          <w:highlight w:val="none"/>
        </w:rPr>
        <w:t>的《中小企业声明函》，</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出具的《中小企业声明函》内容不实的，属于提供虚假材料谋取</w:t>
      </w:r>
      <w:r>
        <w:rPr>
          <w:rFonts w:hint="eastAsia" w:ascii="仿宋" w:hAnsi="仿宋" w:eastAsia="仿宋" w:cs="仿宋"/>
          <w:sz w:val="24"/>
          <w:highlight w:val="none"/>
          <w:lang w:eastAsia="zh-CN"/>
        </w:rPr>
        <w:t>成交，</w:t>
      </w:r>
      <w:r>
        <w:rPr>
          <w:rFonts w:hint="eastAsia" w:ascii="仿宋" w:hAnsi="仿宋" w:eastAsia="仿宋" w:cs="仿宋"/>
          <w:sz w:val="24"/>
          <w:highlight w:val="none"/>
          <w:lang w:val="en-US" w:eastAsia="zh-CN"/>
        </w:rPr>
        <w:t>将</w:t>
      </w:r>
      <w:r>
        <w:rPr>
          <w:rFonts w:hint="eastAsia" w:ascii="仿宋" w:hAnsi="仿宋" w:eastAsia="仿宋" w:cs="仿宋"/>
          <w:sz w:val="24"/>
          <w:highlight w:val="none"/>
        </w:rPr>
        <w:t>依照《</w:t>
      </w:r>
      <w:r>
        <w:rPr>
          <w:rFonts w:hint="eastAsia" w:ascii="仿宋" w:hAnsi="仿宋" w:eastAsia="仿宋" w:cs="仿宋"/>
          <w:sz w:val="24"/>
          <w:highlight w:val="none"/>
          <w:lang w:eastAsia="zh-CN"/>
        </w:rPr>
        <w:t>中华人民共和国政府采购法</w:t>
      </w:r>
      <w:r>
        <w:rPr>
          <w:rFonts w:hint="eastAsia" w:ascii="仿宋" w:hAnsi="仿宋" w:eastAsia="仿宋" w:cs="仿宋"/>
          <w:sz w:val="24"/>
          <w:highlight w:val="none"/>
        </w:rPr>
        <w:t>》等国家有关规定追究相应责任</w:t>
      </w:r>
      <w:r>
        <w:rPr>
          <w:rFonts w:hint="eastAsia" w:ascii="仿宋" w:hAnsi="仿宋" w:eastAsia="仿宋" w:cs="仿宋"/>
          <w:sz w:val="24"/>
          <w:highlight w:val="none"/>
          <w:lang w:eastAsia="zh-CN"/>
        </w:rPr>
        <w:t>。</w:t>
      </w:r>
    </w:p>
    <w:p w14:paraId="265A7A84">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highlight w:val="none"/>
        </w:rPr>
        <w:sectPr>
          <w:pgSz w:w="11906" w:h="16838"/>
          <w:pgMar w:top="1440" w:right="1080" w:bottom="1440" w:left="1080" w:header="851" w:footer="992" w:gutter="0"/>
          <w:cols w:space="0" w:num="1"/>
          <w:docGrid w:type="lines" w:linePitch="312" w:charSpace="0"/>
        </w:sectPr>
      </w:pPr>
    </w:p>
    <w:p w14:paraId="2E4ECEE8">
      <w:pPr>
        <w:pStyle w:val="15"/>
        <w:pageBreakBefore w:val="0"/>
        <w:widowControl w:val="0"/>
        <w:kinsoku/>
        <w:wordWrap/>
        <w:overflowPunct/>
        <w:topLinePunct w:val="0"/>
        <w:autoSpaceDE/>
        <w:autoSpaceDN/>
        <w:bidi w:val="0"/>
        <w:adjustRightInd/>
        <w:snapToGrid/>
        <w:spacing w:before="75" w:beforeAutospacing="0" w:after="75" w:afterAutospacing="0" w:line="360" w:lineRule="auto"/>
        <w:textAlignment w:val="auto"/>
        <w:outlineLvl w:val="1"/>
        <w:rPr>
          <w:rFonts w:hint="eastAsia" w:ascii="仿宋" w:hAnsi="仿宋" w:eastAsia="仿宋" w:cs="仿宋"/>
          <w:b/>
          <w:bCs/>
          <w:sz w:val="28"/>
          <w:szCs w:val="32"/>
          <w:highlight w:val="none"/>
        </w:rPr>
      </w:pPr>
      <w:bookmarkStart w:id="4" w:name="_Toc11062"/>
      <w:r>
        <w:rPr>
          <w:rFonts w:hint="eastAsia" w:ascii="仿宋" w:hAnsi="仿宋" w:eastAsia="仿宋" w:cs="仿宋"/>
          <w:b/>
          <w:bCs/>
          <w:sz w:val="28"/>
          <w:szCs w:val="32"/>
          <w:highlight w:val="none"/>
        </w:rPr>
        <w:t>专项附件：评审的标准和方法</w:t>
      </w:r>
      <w:bookmarkEnd w:id="4"/>
    </w:p>
    <w:p w14:paraId="2E7FA5B7">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5" w:name="_Toc6613"/>
      <w:r>
        <w:rPr>
          <w:rFonts w:hint="eastAsia" w:ascii="仿宋" w:hAnsi="仿宋" w:eastAsia="仿宋" w:cs="仿宋"/>
          <w:b/>
          <w:bCs/>
          <w:sz w:val="28"/>
          <w:szCs w:val="32"/>
          <w:highlight w:val="none"/>
        </w:rPr>
        <w:t>一、磋商小组</w:t>
      </w:r>
      <w:bookmarkEnd w:id="5"/>
    </w:p>
    <w:p w14:paraId="3B17C1C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1.1采购人根据项目的特点依法组建磋商小组。</w:t>
      </w:r>
    </w:p>
    <w:p w14:paraId="65281D7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1.2磋商小组</w:t>
      </w:r>
    </w:p>
    <w:p w14:paraId="4925CF1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eastAsia="zh-CN"/>
        </w:rPr>
      </w:pPr>
      <w:r>
        <w:rPr>
          <w:rFonts w:hint="eastAsia" w:ascii="仿宋" w:hAnsi="仿宋" w:eastAsia="仿宋" w:cs="仿宋"/>
          <w:kern w:val="0"/>
          <w:sz w:val="24"/>
          <w:highlight w:val="none"/>
        </w:rPr>
        <w:t>由采购人代表</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若有</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和评审专家两部分共3人组成</w:t>
      </w:r>
      <w:r>
        <w:rPr>
          <w:rFonts w:hint="eastAsia" w:ascii="仿宋" w:hAnsi="仿宋" w:eastAsia="仿宋" w:cs="仿宋"/>
          <w:kern w:val="0"/>
          <w:sz w:val="24"/>
          <w:highlight w:val="none"/>
          <w:lang w:eastAsia="zh-CN"/>
        </w:rPr>
        <w:t>，</w:t>
      </w:r>
      <w:r>
        <w:rPr>
          <w:rFonts w:ascii="仿宋" w:hAnsi="仿宋" w:eastAsia="仿宋" w:cs="宋体"/>
          <w:kern w:val="0"/>
          <w:sz w:val="24"/>
          <w:szCs w:val="24"/>
          <w:highlight w:val="none"/>
        </w:rPr>
        <w:t>其中</w:t>
      </w:r>
      <w:r>
        <w:rPr>
          <w:rFonts w:hint="eastAsia" w:ascii="仿宋" w:hAnsi="仿宋" w:eastAsia="仿宋" w:cs="仿宋"/>
          <w:sz w:val="24"/>
          <w:highlight w:val="none"/>
          <w:lang w:val="en-US" w:eastAsia="zh-CN"/>
        </w:rPr>
        <w:t>评审</w:t>
      </w:r>
      <w:r>
        <w:rPr>
          <w:rFonts w:hint="eastAsia" w:ascii="仿宋" w:hAnsi="仿宋" w:eastAsia="仿宋" w:cs="仿宋"/>
          <w:sz w:val="24"/>
          <w:highlight w:val="none"/>
        </w:rPr>
        <w:t>专家人数不能少于2/3</w:t>
      </w:r>
      <w:r>
        <w:rPr>
          <w:rFonts w:hint="eastAsia" w:ascii="仿宋" w:hAnsi="仿宋" w:eastAsia="仿宋" w:cs="仿宋"/>
          <w:kern w:val="0"/>
          <w:sz w:val="24"/>
          <w:highlight w:val="none"/>
          <w:lang w:eastAsia="zh-CN"/>
        </w:rPr>
        <w:t>。</w:t>
      </w:r>
    </w:p>
    <w:p w14:paraId="6E25210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1.3磋商小组负责具体磋商和评审事务，并按照下列原则依法独立履行有关职责：</w:t>
      </w:r>
    </w:p>
    <w:p w14:paraId="3DADF78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1.3.1评审应保护国家利益、社会公共利益和各方当事人合法权益，提高采购效益，保证项目质量。</w:t>
      </w:r>
    </w:p>
    <w:p w14:paraId="6955E05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1.3.2评审应遵循公平、公正、科学、严谨和择优原则。</w:t>
      </w:r>
    </w:p>
    <w:p w14:paraId="25A4C81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1.3.3评审的依据是磋商文件和响应文件，磋商文件中没有规定的评审标准不得作为评审依据。</w:t>
      </w:r>
    </w:p>
    <w:p w14:paraId="17E412A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1.3.4磋商小组应按照磋商文件规定推荐成交候选供应商或根据采购人的授权确定</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w:t>
      </w:r>
    </w:p>
    <w:p w14:paraId="42C023B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1.3.5评审应遵守下列评审纪律：</w:t>
      </w:r>
    </w:p>
    <w:p w14:paraId="1BD77AB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①评审情况不得私自外泄，有关信息由采购人或其委托的代理机构统一对外发布。</w:t>
      </w:r>
    </w:p>
    <w:p w14:paraId="53A9C96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②对采购人或供应商提供的要求保密的资料，不得摘记翻印和外传。</w:t>
      </w:r>
    </w:p>
    <w:p w14:paraId="60114A8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③不得收受供应商或有关人员的任何礼物，不得串联鼓动其他人袒护某供应商。若与供应商存在利害关系，则应主动声明并回避。</w:t>
      </w:r>
    </w:p>
    <w:p w14:paraId="101D071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④全体磋商小组成员应按照磋商文件规定进行评审，一切认定事项应查有实据且不得弄虚作假。</w:t>
      </w:r>
    </w:p>
    <w:p w14:paraId="66AEF91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⑤评审中应充分发扬民主，推荐</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候选人或根据采购人授权确定</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后要服从评审报告。</w:t>
      </w:r>
    </w:p>
    <w:p w14:paraId="30727607">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※对违反评审纪律的评委，将取消其评委资格，对评审工作造成严重损失者将予以通报批评乃至追究法律责任。</w:t>
      </w:r>
    </w:p>
    <w:p w14:paraId="5E3FED02">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6" w:name="_Toc8879"/>
      <w:r>
        <w:rPr>
          <w:rFonts w:hint="eastAsia" w:ascii="仿宋" w:hAnsi="仿宋" w:eastAsia="仿宋" w:cs="仿宋"/>
          <w:b/>
          <w:bCs/>
          <w:sz w:val="28"/>
          <w:szCs w:val="32"/>
          <w:highlight w:val="none"/>
        </w:rPr>
        <w:t>二、磋商程序</w:t>
      </w:r>
      <w:bookmarkEnd w:id="6"/>
    </w:p>
    <w:p w14:paraId="41576B7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2.1磋商程序按照磋商文件第二章第2节“竞争性磋商须知”第14 条“磋商程序以及评审标准和方法”的相关条款规定执行。</w:t>
      </w:r>
    </w:p>
    <w:p w14:paraId="15C938C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D6AD72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w:t>
      </w:r>
      <w:r>
        <w:rPr>
          <w:rFonts w:hint="eastAsia" w:ascii="仿宋" w:hAnsi="仿宋" w:eastAsia="仿宋" w:cs="仿宋"/>
          <w:kern w:val="0"/>
          <w:sz w:val="24"/>
          <w:highlight w:val="none"/>
          <w:lang w:val="en-US" w:eastAsia="zh-CN"/>
        </w:rPr>
        <w:t>3</w:t>
      </w:r>
      <w:r>
        <w:rPr>
          <w:rFonts w:hint="eastAsia" w:ascii="仿宋" w:hAnsi="仿宋" w:eastAsia="仿宋" w:cs="仿宋"/>
          <w:kern w:val="0"/>
          <w:sz w:val="24"/>
          <w:highlight w:val="none"/>
        </w:rPr>
        <w:t>只有资格审查和实质性响应审查均合格且按规定提交最后报价的合格供应商才能参加综合评分。</w:t>
      </w:r>
    </w:p>
    <w:p w14:paraId="084B6516">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7" w:name="_Toc9711"/>
      <w:r>
        <w:rPr>
          <w:rFonts w:hint="eastAsia" w:ascii="仿宋" w:hAnsi="仿宋" w:eastAsia="仿宋" w:cs="仿宋"/>
          <w:b/>
          <w:bCs/>
          <w:sz w:val="28"/>
          <w:szCs w:val="32"/>
          <w:highlight w:val="none"/>
        </w:rPr>
        <w:t>三、综合评分的标准和方法</w:t>
      </w:r>
      <w:bookmarkEnd w:id="7"/>
    </w:p>
    <w:p w14:paraId="20F39CA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3.1磋商小组将采用综合评分法对提交最后报价的合格供应商的响应文件和最后报价进行综合评分。如果磋商项目有多个</w:t>
      </w:r>
      <w:r>
        <w:rPr>
          <w:rFonts w:hint="eastAsia" w:ascii="仿宋" w:hAnsi="仿宋" w:eastAsia="仿宋" w:cs="仿宋"/>
          <w:kern w:val="0"/>
          <w:sz w:val="24"/>
          <w:highlight w:val="none"/>
          <w:lang w:eastAsia="zh-CN"/>
        </w:rPr>
        <w:t>采购包</w:t>
      </w:r>
      <w:r>
        <w:rPr>
          <w:rFonts w:hint="eastAsia" w:ascii="仿宋" w:hAnsi="仿宋" w:eastAsia="仿宋" w:cs="仿宋"/>
          <w:kern w:val="0"/>
          <w:sz w:val="24"/>
          <w:highlight w:val="none"/>
        </w:rPr>
        <w:t>，则按相应</w:t>
      </w:r>
      <w:r>
        <w:rPr>
          <w:rFonts w:hint="eastAsia" w:ascii="仿宋" w:hAnsi="仿宋" w:eastAsia="仿宋" w:cs="仿宋"/>
          <w:kern w:val="0"/>
          <w:sz w:val="24"/>
          <w:highlight w:val="none"/>
          <w:lang w:eastAsia="zh-CN"/>
        </w:rPr>
        <w:t>采购包</w:t>
      </w:r>
      <w:r>
        <w:rPr>
          <w:rFonts w:hint="eastAsia" w:ascii="仿宋" w:hAnsi="仿宋" w:eastAsia="仿宋" w:cs="仿宋"/>
          <w:kern w:val="0"/>
          <w:sz w:val="24"/>
          <w:highlight w:val="none"/>
        </w:rPr>
        <w:t>分别进行，具体综合评分的标准和方法如下：</w:t>
      </w:r>
    </w:p>
    <w:p w14:paraId="5D2EF2F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w:t>
      </w: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rPr>
        <w:t>.1磋商小组将对相应</w:t>
      </w:r>
      <w:r>
        <w:rPr>
          <w:rFonts w:hint="eastAsia" w:ascii="仿宋" w:hAnsi="仿宋" w:eastAsia="仿宋" w:cs="仿宋"/>
          <w:kern w:val="0"/>
          <w:sz w:val="24"/>
          <w:highlight w:val="none"/>
          <w:lang w:eastAsia="zh-CN"/>
        </w:rPr>
        <w:t>采购包</w:t>
      </w:r>
      <w:r>
        <w:rPr>
          <w:rFonts w:hint="eastAsia" w:ascii="仿宋" w:hAnsi="仿宋" w:eastAsia="仿宋" w:cs="仿宋"/>
          <w:kern w:val="0"/>
          <w:sz w:val="24"/>
          <w:highlight w:val="none"/>
        </w:rPr>
        <w:t>提交最后报价的合格供应商从技术、商务及报价部分分别进行评议并评分，并汇总出技术、商务及报价部分的综合得分。各</w:t>
      </w:r>
      <w:r>
        <w:rPr>
          <w:rFonts w:hint="eastAsia" w:ascii="仿宋" w:hAnsi="仿宋" w:eastAsia="仿宋" w:cs="仿宋"/>
          <w:kern w:val="0"/>
          <w:sz w:val="24"/>
          <w:highlight w:val="none"/>
          <w:lang w:eastAsia="zh-CN"/>
        </w:rPr>
        <w:t>采购包</w:t>
      </w:r>
      <w:r>
        <w:rPr>
          <w:rFonts w:hint="eastAsia" w:ascii="仿宋" w:hAnsi="仿宋" w:eastAsia="仿宋" w:cs="仿宋"/>
          <w:kern w:val="0"/>
          <w:sz w:val="24"/>
          <w:highlight w:val="none"/>
        </w:rPr>
        <w:t>综合得分最高的供应商将被推荐为第一成交候选供应商，综合得分第二高的供应商将被推荐为第二成交候选供应商，综合得分第三高的供应商将被推荐为第三成交候选供应商（</w:t>
      </w:r>
      <w:r>
        <w:rPr>
          <w:rFonts w:hint="eastAsia" w:ascii="仿宋" w:hAnsi="仿宋" w:eastAsia="仿宋" w:cs="仿宋"/>
          <w:sz w:val="24"/>
          <w:highlight w:val="none"/>
        </w:rPr>
        <w:t>属于《政府采购非招标采购方式管理办法》</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《福建省财政厅关于政府采购执行过程中有关规定的通知》、《福建省财政厅关于政府采购执行过程中有关规定的通知》</w:t>
      </w:r>
      <w:r>
        <w:rPr>
          <w:rFonts w:hint="eastAsia" w:ascii="仿宋" w:hAnsi="仿宋" w:eastAsia="仿宋" w:cs="仿宋"/>
          <w:kern w:val="0"/>
          <w:sz w:val="24"/>
          <w:highlight w:val="none"/>
        </w:rPr>
        <w:t>等相关法律法规及财政部门颁布的规范性文件允许的</w:t>
      </w:r>
      <w:r>
        <w:rPr>
          <w:rFonts w:hint="eastAsia" w:ascii="仿宋" w:hAnsi="仿宋" w:eastAsia="仿宋" w:cs="仿宋"/>
          <w:kern w:val="0"/>
          <w:sz w:val="24"/>
          <w:highlight w:val="none"/>
          <w:lang w:eastAsia="zh-CN"/>
        </w:rPr>
        <w:t>2家</w:t>
      </w:r>
      <w:r>
        <w:rPr>
          <w:rFonts w:hint="eastAsia" w:ascii="仿宋" w:hAnsi="仿宋" w:eastAsia="仿宋" w:cs="仿宋"/>
          <w:kern w:val="0"/>
          <w:sz w:val="24"/>
          <w:highlight w:val="none"/>
        </w:rPr>
        <w:t>供应商进行竞争性磋商采购情形，则不推荐第三成交候选供应商）。如果出现相同的综合得分，则最后报价低的供应商排序在前优先推荐；如果最后报价仍相同，则技术部分得分高的供应商优先排序在前推荐。</w:t>
      </w:r>
    </w:p>
    <w:p w14:paraId="3BDA9B1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w:t>
      </w: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rPr>
        <w:t>.2具体评审标准和方法：</w:t>
      </w:r>
    </w:p>
    <w:p w14:paraId="088AA3A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（1）响应文件满足磋商文件全部实质性要求，且按照评审因素的量化指标综合评审总得分从高到低顺序推荐3名以上成交候选人供应商，其中评审总得分最高的供应商为第一成交候选供应商。</w:t>
      </w:r>
    </w:p>
    <w:p w14:paraId="72BBE92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（2）每个供应商的综合评审总得分FA＝F1＋F2＋F3，其中：F1指价格项评审因素得分、F2指技术项评审因素得分、F3指商务项评审因素得分，F1＋F2＋F3=100分（满分时）。</w:t>
      </w:r>
    </w:p>
    <w:p w14:paraId="17ED0A0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（3）各项评审因素的设置如下：</w:t>
      </w:r>
    </w:p>
    <w:p w14:paraId="70FF2E3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采购包1：综合评分法</w:t>
      </w:r>
    </w:p>
    <w:p w14:paraId="2DFD606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各项评审因素的设置如下：</w:t>
      </w:r>
    </w:p>
    <w:p w14:paraId="5584F9F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报价部分评分F1 满分为</w:t>
      </w:r>
      <w:r>
        <w:rPr>
          <w:rFonts w:hint="eastAsia" w:ascii="仿宋" w:hAnsi="仿宋" w:eastAsia="仿宋" w:cs="仿宋"/>
          <w:kern w:val="0"/>
          <w:sz w:val="24"/>
          <w:highlight w:val="none"/>
          <w:lang w:val="en-US" w:eastAsia="zh-CN"/>
        </w:rPr>
        <w:t>20</w:t>
      </w:r>
      <w:r>
        <w:rPr>
          <w:rFonts w:hint="eastAsia" w:ascii="仿宋" w:hAnsi="仿宋" w:eastAsia="仿宋" w:cs="仿宋"/>
          <w:kern w:val="0"/>
          <w:sz w:val="24"/>
          <w:highlight w:val="none"/>
        </w:rPr>
        <w:t>.00分</w:t>
      </w:r>
    </w:p>
    <w:p w14:paraId="08BA35D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宋体"/>
          <w:kern w:val="0"/>
          <w:sz w:val="24"/>
          <w:highlight w:val="none"/>
        </w:rPr>
        <w:t>F1指价格项评审因素得分＝（</w:t>
      </w:r>
      <w:r>
        <w:rPr>
          <w:rFonts w:hint="eastAsia" w:ascii="仿宋" w:hAnsi="仿宋" w:eastAsia="仿宋" w:cs="宋体"/>
          <w:kern w:val="0"/>
          <w:sz w:val="24"/>
          <w:highlight w:val="none"/>
          <w:lang w:eastAsia="zh-CN"/>
        </w:rPr>
        <w:t>磋商基准价</w:t>
      </w:r>
      <w:r>
        <w:rPr>
          <w:rFonts w:hint="eastAsia" w:ascii="仿宋" w:hAnsi="仿宋" w:eastAsia="仿宋" w:cs="宋体"/>
          <w:kern w:val="0"/>
          <w:sz w:val="24"/>
          <w:highlight w:val="none"/>
        </w:rPr>
        <w:t>/</w:t>
      </w:r>
      <w:r>
        <w:rPr>
          <w:rFonts w:hint="eastAsia" w:ascii="仿宋" w:hAnsi="仿宋" w:eastAsia="仿宋" w:cs="宋体"/>
          <w:kern w:val="0"/>
          <w:sz w:val="24"/>
          <w:highlight w:val="none"/>
          <w:lang w:val="en-US" w:eastAsia="zh-CN"/>
        </w:rPr>
        <w:t>评审价</w:t>
      </w:r>
      <w:r>
        <w:rPr>
          <w:rFonts w:hint="eastAsia" w:ascii="仿宋" w:hAnsi="仿宋" w:eastAsia="仿宋" w:cs="宋体"/>
          <w:kern w:val="0"/>
          <w:sz w:val="24"/>
          <w:highlight w:val="none"/>
        </w:rPr>
        <w:t>）×</w:t>
      </w:r>
      <w:r>
        <w:rPr>
          <w:rFonts w:hint="eastAsia" w:ascii="仿宋" w:hAnsi="仿宋" w:eastAsia="仿宋" w:cs="仿宋"/>
          <w:kern w:val="0"/>
          <w:sz w:val="24"/>
          <w:highlight w:val="none"/>
        </w:rPr>
        <w:t>报价部分评分F1满分</w:t>
      </w:r>
      <w:r>
        <w:rPr>
          <w:rFonts w:hint="eastAsia" w:ascii="仿宋" w:hAnsi="仿宋" w:eastAsia="仿宋" w:cs="宋体"/>
          <w:kern w:val="0"/>
          <w:sz w:val="24"/>
          <w:highlight w:val="none"/>
        </w:rPr>
        <w:t>（注：满足</w:t>
      </w:r>
      <w:r>
        <w:rPr>
          <w:rFonts w:hint="eastAsia" w:ascii="仿宋" w:hAnsi="仿宋" w:eastAsia="仿宋" w:cs="宋体"/>
          <w:kern w:val="0"/>
          <w:sz w:val="24"/>
          <w:highlight w:val="none"/>
          <w:lang w:val="en-US" w:eastAsia="zh-CN"/>
        </w:rPr>
        <w:t>磋商</w:t>
      </w:r>
      <w:r>
        <w:rPr>
          <w:rFonts w:hint="eastAsia" w:ascii="仿宋" w:hAnsi="仿宋" w:eastAsia="仿宋" w:cs="宋体"/>
          <w:kern w:val="0"/>
          <w:sz w:val="24"/>
          <w:highlight w:val="none"/>
        </w:rPr>
        <w:t>文件要求且</w:t>
      </w:r>
      <w:r>
        <w:rPr>
          <w:rFonts w:hint="eastAsia" w:ascii="仿宋" w:hAnsi="仿宋" w:eastAsia="仿宋" w:cs="仿宋"/>
          <w:kern w:val="0"/>
          <w:sz w:val="24"/>
          <w:highlight w:val="none"/>
        </w:rPr>
        <w:t>最后报价最低</w:t>
      </w:r>
      <w:r>
        <w:rPr>
          <w:rFonts w:hint="eastAsia" w:ascii="仿宋" w:hAnsi="仿宋" w:eastAsia="仿宋" w:cs="宋体"/>
          <w:kern w:val="0"/>
          <w:sz w:val="24"/>
          <w:highlight w:val="none"/>
        </w:rPr>
        <w:t>的报价为</w:t>
      </w:r>
      <w:r>
        <w:rPr>
          <w:rFonts w:hint="eastAsia" w:ascii="仿宋" w:hAnsi="仿宋" w:eastAsia="仿宋" w:cs="宋体"/>
          <w:kern w:val="0"/>
          <w:sz w:val="24"/>
          <w:highlight w:val="none"/>
          <w:lang w:eastAsia="zh-CN"/>
        </w:rPr>
        <w:t>磋商基准价</w:t>
      </w:r>
      <w:r>
        <w:rPr>
          <w:rFonts w:hint="eastAsia" w:ascii="仿宋" w:hAnsi="仿宋" w:eastAsia="仿宋" w:cs="宋体"/>
          <w:kern w:val="0"/>
          <w:sz w:val="24"/>
          <w:highlight w:val="none"/>
        </w:rPr>
        <w:t>。）最低报价不是</w:t>
      </w:r>
      <w:r>
        <w:rPr>
          <w:rFonts w:hint="eastAsia" w:ascii="仿宋" w:hAnsi="仿宋" w:eastAsia="仿宋" w:cs="宋体"/>
          <w:kern w:val="0"/>
          <w:sz w:val="24"/>
          <w:highlight w:val="none"/>
          <w:lang w:val="en-US" w:eastAsia="zh-CN"/>
        </w:rPr>
        <w:t>成交</w:t>
      </w:r>
      <w:r>
        <w:rPr>
          <w:rFonts w:hint="eastAsia" w:ascii="仿宋" w:hAnsi="仿宋" w:eastAsia="仿宋" w:cs="宋体"/>
          <w:kern w:val="0"/>
          <w:sz w:val="24"/>
          <w:highlight w:val="none"/>
        </w:rPr>
        <w:t>的唯一依据。因落实政府采购政策进行价格调整的，以调整后的价格计算</w:t>
      </w:r>
      <w:r>
        <w:rPr>
          <w:rFonts w:hint="eastAsia" w:ascii="仿宋" w:hAnsi="仿宋" w:eastAsia="仿宋" w:cs="宋体"/>
          <w:kern w:val="0"/>
          <w:sz w:val="24"/>
          <w:highlight w:val="none"/>
          <w:lang w:eastAsia="zh-CN"/>
        </w:rPr>
        <w:t>磋商基准价</w:t>
      </w:r>
      <w:r>
        <w:rPr>
          <w:rFonts w:hint="eastAsia" w:ascii="仿宋" w:hAnsi="仿宋" w:eastAsia="仿宋" w:cs="宋体"/>
          <w:kern w:val="0"/>
          <w:sz w:val="24"/>
          <w:highlight w:val="none"/>
        </w:rPr>
        <w:t>和</w:t>
      </w:r>
      <w:r>
        <w:rPr>
          <w:rFonts w:hint="eastAsia" w:ascii="仿宋" w:hAnsi="仿宋" w:eastAsia="仿宋" w:cs="宋体"/>
          <w:kern w:val="0"/>
          <w:sz w:val="24"/>
          <w:highlight w:val="none"/>
          <w:lang w:val="en-US" w:eastAsia="zh-CN"/>
        </w:rPr>
        <w:t>评审价</w:t>
      </w:r>
      <w:r>
        <w:rPr>
          <w:rFonts w:hint="eastAsia" w:ascii="仿宋" w:hAnsi="仿宋" w:eastAsia="仿宋" w:cs="仿宋"/>
          <w:kern w:val="0"/>
          <w:sz w:val="24"/>
          <w:highlight w:val="none"/>
        </w:rPr>
        <w:t>。</w:t>
      </w:r>
    </w:p>
    <w:p w14:paraId="4FBB229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价格扣除的规则如下：</w:t>
      </w:r>
    </w:p>
    <w:tbl>
      <w:tblPr>
        <w:tblStyle w:val="19"/>
        <w:tblW w:w="9761"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304"/>
        <w:gridCol w:w="1209"/>
        <w:gridCol w:w="1078"/>
        <w:gridCol w:w="6170"/>
      </w:tblGrid>
      <w:tr w14:paraId="79EF61A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304" w:type="dxa"/>
            <w:vAlign w:val="center"/>
          </w:tcPr>
          <w:p w14:paraId="5DC6E0AC">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val="0"/>
                <w:bCs w:val="0"/>
                <w:kern w:val="0"/>
                <w:sz w:val="24"/>
                <w:szCs w:val="24"/>
                <w:highlight w:val="none"/>
                <w:lang w:val="en-US" w:eastAsia="zh-CN" w:bidi="ar-SA"/>
              </w:rPr>
            </w:pPr>
            <w:r>
              <w:rPr>
                <w:rFonts w:hint="eastAsia" w:ascii="仿宋" w:hAnsi="仿宋" w:eastAsia="仿宋" w:cs="仿宋"/>
                <w:b w:val="0"/>
                <w:bCs w:val="0"/>
                <w:kern w:val="0"/>
                <w:sz w:val="24"/>
                <w:szCs w:val="24"/>
                <w:highlight w:val="none"/>
                <w:lang w:val="en-US" w:eastAsia="zh-CN" w:bidi="ar-SA"/>
              </w:rPr>
              <w:t>项目</w:t>
            </w:r>
          </w:p>
        </w:tc>
        <w:tc>
          <w:tcPr>
            <w:tcW w:w="1209" w:type="dxa"/>
            <w:vAlign w:val="center"/>
          </w:tcPr>
          <w:p w14:paraId="4D16573E">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val="0"/>
                <w:bCs w:val="0"/>
                <w:kern w:val="0"/>
                <w:sz w:val="24"/>
                <w:szCs w:val="24"/>
                <w:highlight w:val="none"/>
                <w:lang w:val="en-US" w:eastAsia="zh-CN" w:bidi="ar-SA"/>
              </w:rPr>
            </w:pPr>
            <w:r>
              <w:rPr>
                <w:rFonts w:hint="eastAsia" w:ascii="仿宋" w:hAnsi="仿宋" w:eastAsia="仿宋" w:cs="仿宋"/>
                <w:b w:val="0"/>
                <w:bCs w:val="0"/>
                <w:kern w:val="0"/>
                <w:sz w:val="24"/>
                <w:szCs w:val="24"/>
                <w:highlight w:val="none"/>
                <w:lang w:val="en-US" w:eastAsia="zh-CN" w:bidi="ar-SA"/>
              </w:rPr>
              <w:t>适用对象</w:t>
            </w:r>
          </w:p>
        </w:tc>
        <w:tc>
          <w:tcPr>
            <w:tcW w:w="1078" w:type="dxa"/>
            <w:vAlign w:val="center"/>
          </w:tcPr>
          <w:p w14:paraId="04EE6AE4">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val="0"/>
                <w:bCs w:val="0"/>
                <w:kern w:val="0"/>
                <w:sz w:val="24"/>
                <w:szCs w:val="24"/>
                <w:highlight w:val="none"/>
                <w:lang w:val="en-US" w:eastAsia="zh-CN" w:bidi="ar-SA"/>
              </w:rPr>
            </w:pPr>
            <w:r>
              <w:rPr>
                <w:rFonts w:hint="eastAsia" w:ascii="仿宋" w:hAnsi="仿宋" w:eastAsia="仿宋" w:cs="仿宋"/>
                <w:b w:val="0"/>
                <w:bCs w:val="0"/>
                <w:kern w:val="0"/>
                <w:sz w:val="24"/>
                <w:szCs w:val="24"/>
                <w:highlight w:val="none"/>
                <w:lang w:val="en-US" w:eastAsia="zh-CN" w:bidi="ar-SA"/>
              </w:rPr>
              <w:t>比例</w:t>
            </w:r>
          </w:p>
        </w:tc>
        <w:tc>
          <w:tcPr>
            <w:tcW w:w="6170" w:type="dxa"/>
            <w:vAlign w:val="center"/>
          </w:tcPr>
          <w:p w14:paraId="013CD70F">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评标方法</w:t>
            </w:r>
          </w:p>
        </w:tc>
      </w:tr>
      <w:tr w14:paraId="6C8DEF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304" w:type="dxa"/>
            <w:vAlign w:val="center"/>
          </w:tcPr>
          <w:p w14:paraId="7837C6E3">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val="0"/>
                <w:bCs w:val="0"/>
                <w:kern w:val="0"/>
                <w:sz w:val="24"/>
                <w:szCs w:val="24"/>
                <w:highlight w:val="none"/>
                <w:lang w:val="en-US" w:eastAsia="zh-CN" w:bidi="ar-SA"/>
              </w:rPr>
            </w:pPr>
            <w:r>
              <w:rPr>
                <w:rFonts w:hint="eastAsia" w:ascii="仿宋" w:hAnsi="仿宋" w:eastAsia="仿宋" w:cs="仿宋"/>
                <w:b w:val="0"/>
                <w:bCs w:val="0"/>
                <w:kern w:val="0"/>
                <w:sz w:val="24"/>
                <w:szCs w:val="24"/>
                <w:highlight w:val="none"/>
                <w:lang w:val="en-US" w:eastAsia="zh-CN" w:bidi="ar-SA"/>
              </w:rPr>
              <w:t>小型、微型企业，监狱企业，残疾人福利性单位</w:t>
            </w:r>
          </w:p>
        </w:tc>
        <w:tc>
          <w:tcPr>
            <w:tcW w:w="1209" w:type="dxa"/>
            <w:vAlign w:val="center"/>
          </w:tcPr>
          <w:p w14:paraId="25A7BDF1">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val="0"/>
                <w:bCs w:val="0"/>
                <w:kern w:val="0"/>
                <w:sz w:val="24"/>
                <w:szCs w:val="24"/>
                <w:highlight w:val="none"/>
                <w:lang w:val="en-US" w:eastAsia="zh-CN" w:bidi="ar-SA"/>
              </w:rPr>
            </w:pPr>
            <w:r>
              <w:rPr>
                <w:rFonts w:hint="eastAsia" w:ascii="仿宋" w:hAnsi="仿宋" w:eastAsia="仿宋" w:cs="仿宋"/>
                <w:b w:val="0"/>
                <w:bCs w:val="0"/>
                <w:kern w:val="0"/>
                <w:sz w:val="24"/>
                <w:szCs w:val="24"/>
                <w:highlight w:val="none"/>
                <w:lang w:val="en-US" w:eastAsia="zh-CN" w:bidi="ar-SA"/>
              </w:rPr>
              <w:t>供应商或者联合体均为小型、微型企业</w:t>
            </w:r>
          </w:p>
        </w:tc>
        <w:tc>
          <w:tcPr>
            <w:tcW w:w="1078" w:type="dxa"/>
            <w:vAlign w:val="center"/>
          </w:tcPr>
          <w:p w14:paraId="55574937">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val="0"/>
                <w:bCs w:val="0"/>
                <w:kern w:val="0"/>
                <w:sz w:val="24"/>
                <w:szCs w:val="24"/>
                <w:highlight w:val="none"/>
                <w:lang w:val="en-US" w:eastAsia="zh-CN" w:bidi="ar-SA"/>
              </w:rPr>
            </w:pPr>
            <w:r>
              <w:rPr>
                <w:rFonts w:hint="eastAsia" w:ascii="仿宋" w:hAnsi="仿宋" w:eastAsia="仿宋" w:cs="仿宋"/>
                <w:b w:val="0"/>
                <w:bCs w:val="0"/>
                <w:kern w:val="0"/>
                <w:sz w:val="24"/>
                <w:szCs w:val="24"/>
                <w:highlight w:val="none"/>
                <w:lang w:val="en-US" w:eastAsia="zh-CN" w:bidi="ar-SA"/>
              </w:rPr>
              <w:t>/</w:t>
            </w:r>
          </w:p>
        </w:tc>
        <w:tc>
          <w:tcPr>
            <w:tcW w:w="6170" w:type="dxa"/>
            <w:vAlign w:val="top"/>
          </w:tcPr>
          <w:p w14:paraId="28C64A2A">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本项目为专门面向中小企业采购，不再进行价格扣除。</w:t>
            </w:r>
          </w:p>
        </w:tc>
      </w:tr>
    </w:tbl>
    <w:p w14:paraId="16F2FE9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优先类节能产品、环境标志产品的价格扣除规则如下</w:t>
      </w:r>
    </w:p>
    <w:tbl>
      <w:tblPr>
        <w:tblStyle w:val="18"/>
        <w:tblW w:w="0" w:type="auto"/>
        <w:jc w:val="center"/>
        <w:tblBorders>
          <w:top w:val="outset" w:color="666666" w:sz="4" w:space="0"/>
          <w:left w:val="outset" w:color="666666" w:sz="4" w:space="0"/>
          <w:bottom w:val="outset" w:color="666666" w:sz="4" w:space="0"/>
          <w:right w:val="outset" w:color="666666" w:sz="4" w:space="0"/>
          <w:insideH w:val="none" w:color="auto" w:sz="0" w:space="0"/>
          <w:insideV w:val="none" w:color="auto" w:sz="0" w:space="0"/>
        </w:tblBorders>
        <w:tblLayout w:type="autofit"/>
        <w:tblCellMar>
          <w:top w:w="0" w:type="dxa"/>
          <w:left w:w="0" w:type="dxa"/>
          <w:bottom w:w="0" w:type="dxa"/>
          <w:right w:w="0" w:type="dxa"/>
        </w:tblCellMar>
      </w:tblPr>
      <w:tblGrid>
        <w:gridCol w:w="1288"/>
        <w:gridCol w:w="1110"/>
        <w:gridCol w:w="7272"/>
      </w:tblGrid>
      <w:tr w14:paraId="7019E563">
        <w:tblPrEx>
          <w:tblBorders>
            <w:top w:val="outset" w:color="666666" w:sz="4" w:space="0"/>
            <w:left w:val="outset" w:color="666666" w:sz="4" w:space="0"/>
            <w:bottom w:val="outset" w:color="666666" w:sz="4" w:space="0"/>
            <w:right w:val="outset" w:color="666666" w:sz="4" w:space="0"/>
            <w:insideH w:val="none" w:color="auto" w:sz="0" w:space="0"/>
            <w:insideV w:val="none" w:color="auto" w:sz="0" w:space="0"/>
          </w:tblBorders>
          <w:tblCellMar>
            <w:top w:w="0" w:type="dxa"/>
            <w:left w:w="0" w:type="dxa"/>
            <w:bottom w:w="0" w:type="dxa"/>
            <w:right w:w="0" w:type="dxa"/>
          </w:tblCellMar>
        </w:tblPrEx>
        <w:trPr>
          <w:tblHeader/>
          <w:jc w:val="center"/>
        </w:trPr>
        <w:tc>
          <w:tcPr>
            <w:tcW w:w="1288" w:type="dxa"/>
            <w:tcBorders>
              <w:top w:val="single" w:color="666666" w:sz="4" w:space="0"/>
              <w:left w:val="single" w:color="666666" w:sz="4" w:space="0"/>
              <w:bottom w:val="single" w:color="666666" w:sz="4" w:space="0"/>
              <w:right w:val="single" w:color="666666" w:sz="4" w:space="0"/>
            </w:tcBorders>
            <w:shd w:val="clear" w:color="auto" w:fill="FFFFFF"/>
            <w:vAlign w:val="center"/>
          </w:tcPr>
          <w:p w14:paraId="2E73EDA6">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评审项目</w:t>
            </w:r>
          </w:p>
        </w:tc>
        <w:tc>
          <w:tcPr>
            <w:tcW w:w="1110" w:type="dxa"/>
            <w:tcBorders>
              <w:top w:val="single" w:color="666666" w:sz="4" w:space="0"/>
              <w:left w:val="single" w:color="666666" w:sz="4" w:space="0"/>
              <w:bottom w:val="single" w:color="666666" w:sz="4" w:space="0"/>
              <w:right w:val="single" w:color="666666" w:sz="4" w:space="0"/>
            </w:tcBorders>
            <w:shd w:val="clear" w:color="auto" w:fill="FFFFFF"/>
            <w:vAlign w:val="center"/>
          </w:tcPr>
          <w:p w14:paraId="51EA6C71">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评审分值</w:t>
            </w:r>
          </w:p>
        </w:tc>
        <w:tc>
          <w:tcPr>
            <w:tcW w:w="7272" w:type="dxa"/>
            <w:tcBorders>
              <w:top w:val="single" w:color="666666" w:sz="4" w:space="0"/>
              <w:left w:val="single" w:color="666666" w:sz="4" w:space="0"/>
              <w:bottom w:val="single" w:color="666666" w:sz="4" w:space="0"/>
              <w:right w:val="single" w:color="666666" w:sz="4" w:space="0"/>
            </w:tcBorders>
            <w:shd w:val="clear" w:color="auto" w:fill="FFFFFF"/>
            <w:vAlign w:val="center"/>
          </w:tcPr>
          <w:p w14:paraId="277FA63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评审方法描述</w:t>
            </w:r>
          </w:p>
        </w:tc>
      </w:tr>
      <w:tr w14:paraId="561EE602">
        <w:tblPrEx>
          <w:tblBorders>
            <w:top w:val="outset" w:color="666666" w:sz="4" w:space="0"/>
            <w:left w:val="outset" w:color="666666" w:sz="4" w:space="0"/>
            <w:bottom w:val="outset" w:color="666666" w:sz="4" w:space="0"/>
            <w:right w:val="outset" w:color="666666" w:sz="4" w:space="0"/>
            <w:insideH w:val="none" w:color="auto" w:sz="0" w:space="0"/>
            <w:insideV w:val="none" w:color="auto" w:sz="0" w:space="0"/>
          </w:tblBorders>
          <w:tblCellMar>
            <w:top w:w="0" w:type="dxa"/>
            <w:left w:w="0" w:type="dxa"/>
            <w:bottom w:w="0" w:type="dxa"/>
            <w:right w:w="0" w:type="dxa"/>
          </w:tblCellMar>
        </w:tblPrEx>
        <w:trPr>
          <w:jc w:val="center"/>
        </w:trPr>
        <w:tc>
          <w:tcPr>
            <w:tcW w:w="1288" w:type="dxa"/>
            <w:tcBorders>
              <w:top w:val="single" w:color="666666" w:sz="4" w:space="0"/>
              <w:left w:val="single" w:color="666666" w:sz="4" w:space="0"/>
              <w:bottom w:val="single" w:color="666666" w:sz="4" w:space="0"/>
              <w:right w:val="single" w:color="666666" w:sz="4" w:space="0"/>
            </w:tcBorders>
            <w:shd w:val="clear" w:color="auto" w:fill="FFFFFF"/>
            <w:vAlign w:val="center"/>
          </w:tcPr>
          <w:p w14:paraId="2972D89A">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节能、环境标志产品</w:t>
            </w:r>
          </w:p>
        </w:tc>
        <w:tc>
          <w:tcPr>
            <w:tcW w:w="1110" w:type="dxa"/>
            <w:tcBorders>
              <w:top w:val="single" w:color="666666" w:sz="4" w:space="0"/>
              <w:left w:val="single" w:color="666666" w:sz="4" w:space="0"/>
              <w:bottom w:val="single" w:color="666666" w:sz="4" w:space="0"/>
              <w:right w:val="single" w:color="666666" w:sz="4" w:space="0"/>
            </w:tcBorders>
            <w:shd w:val="clear" w:color="auto" w:fill="FFFFFF"/>
            <w:vAlign w:val="center"/>
          </w:tcPr>
          <w:p w14:paraId="2176E236">
            <w:pPr>
              <w:pStyle w:val="30"/>
              <w:spacing w:line="360" w:lineRule="auto"/>
              <w:jc w:val="center"/>
              <w:rPr>
                <w:rFonts w:hint="eastAsia" w:ascii="仿宋" w:hAnsi="仿宋" w:eastAsia="仿宋" w:cs="仿宋"/>
                <w:kern w:val="0"/>
                <w:sz w:val="24"/>
                <w:szCs w:val="24"/>
                <w:highlight w:val="none"/>
              </w:rPr>
            </w:pPr>
            <w:r>
              <w:rPr>
                <w:rFonts w:ascii="仿宋" w:hAnsi="仿宋" w:eastAsia="仿宋" w:cs="仿宋"/>
                <w:sz w:val="24"/>
                <w:szCs w:val="24"/>
                <w:highlight w:val="none"/>
              </w:rPr>
              <w:t>10.00%</w:t>
            </w:r>
          </w:p>
        </w:tc>
        <w:tc>
          <w:tcPr>
            <w:tcW w:w="7272" w:type="dxa"/>
            <w:tcBorders>
              <w:top w:val="single" w:color="666666" w:sz="4" w:space="0"/>
              <w:left w:val="single" w:color="666666" w:sz="4" w:space="0"/>
              <w:bottom w:val="single" w:color="666666" w:sz="4" w:space="0"/>
              <w:right w:val="single" w:color="666666" w:sz="4" w:space="0"/>
            </w:tcBorders>
            <w:shd w:val="clear" w:color="auto" w:fill="FFFFFF"/>
            <w:vAlign w:val="top"/>
          </w:tcPr>
          <w:p w14:paraId="43908C02">
            <w:pPr>
              <w:pStyle w:val="30"/>
              <w:keepNext w:val="0"/>
              <w:keepLines w:val="0"/>
              <w:widowControl/>
              <w:numPr>
                <w:ilvl w:val="0"/>
                <w:numId w:val="0"/>
              </w:numPr>
              <w:suppressLineNumbers w:val="0"/>
              <w:spacing w:before="0" w:beforeAutospacing="0" w:after="0" w:afterAutospacing="0" w:line="360" w:lineRule="auto"/>
              <w:ind w:left="0" w:right="0"/>
              <w:jc w:val="left"/>
              <w:rPr>
                <w:rFonts w:ascii="仿宋" w:hAnsi="仿宋" w:eastAsia="仿宋" w:cs="仿宋"/>
                <w:kern w:val="2"/>
                <w:sz w:val="24"/>
                <w:szCs w:val="24"/>
                <w:highlight w:val="none"/>
              </w:rPr>
            </w:pPr>
            <w:r>
              <w:rPr>
                <w:rFonts w:hint="eastAsia" w:ascii="仿宋" w:hAnsi="仿宋" w:eastAsia="仿宋" w:cs="仿宋"/>
                <w:kern w:val="2"/>
                <w:sz w:val="24"/>
                <w:szCs w:val="24"/>
                <w:highlight w:val="none"/>
                <w:lang w:val="en-US" w:eastAsia="zh-Hans"/>
              </w:rPr>
              <w:t>1、</w:t>
            </w:r>
            <w:r>
              <w:rPr>
                <w:rFonts w:ascii="仿宋" w:hAnsi="仿宋" w:eastAsia="仿宋" w:cs="仿宋"/>
                <w:kern w:val="2"/>
                <w:sz w:val="24"/>
                <w:szCs w:val="24"/>
                <w:highlight w:val="none"/>
              </w:rPr>
              <w:t>同一采购包内，</w:t>
            </w:r>
            <w:r>
              <w:rPr>
                <w:rFonts w:hint="eastAsia" w:ascii="仿宋" w:hAnsi="仿宋" w:eastAsia="仿宋" w:cs="仿宋"/>
                <w:kern w:val="2"/>
                <w:sz w:val="24"/>
                <w:szCs w:val="24"/>
                <w:highlight w:val="none"/>
                <w:lang w:val="en-US" w:eastAsia="zh-CN"/>
              </w:rPr>
              <w:t>若供应商所投节能产品属于《关于印发节能产品政府采购品目清单的通知》（财库〔2019〕19号）内的产品、所投环境标志产品属于《关于印发环境标志产品政府采购品目清单的通知》（财库〔2019〕18号）内的产品，</w:t>
            </w:r>
            <w:r>
              <w:rPr>
                <w:rFonts w:ascii="仿宋" w:hAnsi="仿宋" w:eastAsia="仿宋" w:cs="仿宋"/>
                <w:kern w:val="2"/>
                <w:sz w:val="24"/>
                <w:szCs w:val="24"/>
                <w:highlight w:val="none"/>
              </w:rPr>
              <w:t>同时包含</w:t>
            </w:r>
            <w:r>
              <w:rPr>
                <w:rFonts w:hint="eastAsia" w:ascii="仿宋" w:hAnsi="仿宋" w:eastAsia="仿宋" w:cs="仿宋"/>
                <w:kern w:val="2"/>
                <w:sz w:val="24"/>
                <w:szCs w:val="24"/>
                <w:highlight w:val="none"/>
                <w:lang w:eastAsia="zh-CN"/>
              </w:rPr>
              <w:t>其他</w:t>
            </w:r>
            <w:r>
              <w:rPr>
                <w:rFonts w:ascii="仿宋" w:hAnsi="仿宋" w:eastAsia="仿宋" w:cs="仿宋"/>
                <w:kern w:val="2"/>
                <w:sz w:val="24"/>
                <w:szCs w:val="24"/>
                <w:highlight w:val="none"/>
              </w:rPr>
              <w:t>非优先采购产品的，</w:t>
            </w:r>
            <w:r>
              <w:rPr>
                <w:rFonts w:hint="eastAsia" w:ascii="仿宋" w:hAnsi="仿宋" w:eastAsia="仿宋" w:cs="仿宋"/>
                <w:kern w:val="2"/>
                <w:sz w:val="24"/>
                <w:szCs w:val="24"/>
                <w:highlight w:val="none"/>
                <w:lang w:val="en-US" w:eastAsia="zh-CN"/>
              </w:rPr>
              <w:t>应提供对优先采购产品和非优先采购产品的分项报价。</w:t>
            </w:r>
          </w:p>
          <w:p w14:paraId="447F5BEF">
            <w:pPr>
              <w:pStyle w:val="30"/>
              <w:keepNext w:val="0"/>
              <w:keepLines w:val="0"/>
              <w:widowControl/>
              <w:numPr>
                <w:ilvl w:val="0"/>
                <w:numId w:val="0"/>
              </w:numPr>
              <w:suppressLineNumbers w:val="0"/>
              <w:spacing w:before="0" w:beforeAutospacing="0" w:after="0" w:afterAutospacing="0" w:line="360" w:lineRule="auto"/>
              <w:ind w:left="0" w:right="0"/>
              <w:jc w:val="left"/>
              <w:rPr>
                <w:rFonts w:ascii="仿宋" w:hAnsi="仿宋" w:eastAsia="仿宋" w:cs="仿宋"/>
                <w:kern w:val="2"/>
                <w:sz w:val="24"/>
                <w:szCs w:val="24"/>
                <w:highlight w:val="none"/>
              </w:rPr>
            </w:pPr>
            <w:r>
              <w:rPr>
                <w:rFonts w:hint="eastAsia" w:ascii="仿宋" w:hAnsi="仿宋" w:eastAsia="仿宋" w:cs="仿宋"/>
                <w:kern w:val="2"/>
                <w:sz w:val="24"/>
                <w:szCs w:val="24"/>
                <w:highlight w:val="none"/>
                <w:lang w:val="en-US" w:eastAsia="zh-Hans"/>
              </w:rPr>
              <w:t>2、</w:t>
            </w:r>
            <w:r>
              <w:rPr>
                <w:rFonts w:ascii="仿宋" w:hAnsi="仿宋" w:eastAsia="仿宋" w:cs="仿宋"/>
                <w:kern w:val="2"/>
                <w:sz w:val="24"/>
                <w:szCs w:val="24"/>
                <w:highlight w:val="none"/>
              </w:rPr>
              <w:t>同一采购包内，对节能产品、环境标志产品政府采购品目清单范围内，实施优先采购的产品，给予产品价格报价10%-20%的扣除，用扣除后的价格参加评审。</w:t>
            </w:r>
          </w:p>
          <w:p w14:paraId="373491FF">
            <w:pPr>
              <w:pStyle w:val="30"/>
              <w:keepNext w:val="0"/>
              <w:keepLines w:val="0"/>
              <w:widowControl/>
              <w:numPr>
                <w:ilvl w:val="0"/>
                <w:numId w:val="0"/>
              </w:numPr>
              <w:suppressLineNumbers w:val="0"/>
              <w:spacing w:before="0" w:beforeAutospacing="0" w:after="0" w:afterAutospacing="0" w:line="360" w:lineRule="auto"/>
              <w:ind w:left="0" w:right="0"/>
              <w:jc w:val="left"/>
              <w:rPr>
                <w:rFonts w:ascii="仿宋" w:hAnsi="仿宋" w:eastAsia="仿宋" w:cs="仿宋"/>
                <w:kern w:val="2"/>
                <w:sz w:val="24"/>
                <w:szCs w:val="24"/>
                <w:highlight w:val="none"/>
              </w:rPr>
            </w:pPr>
            <w:r>
              <w:rPr>
                <w:rFonts w:hint="eastAsia" w:ascii="仿宋" w:hAnsi="仿宋" w:eastAsia="仿宋" w:cs="仿宋"/>
                <w:kern w:val="2"/>
                <w:sz w:val="24"/>
                <w:szCs w:val="24"/>
                <w:highlight w:val="none"/>
                <w:lang w:val="en-US" w:eastAsia="zh-Hans"/>
              </w:rPr>
              <w:t>3、</w:t>
            </w:r>
            <w:r>
              <w:rPr>
                <w:rFonts w:ascii="仿宋" w:hAnsi="仿宋" w:eastAsia="仿宋" w:cs="仿宋"/>
                <w:kern w:val="2"/>
                <w:sz w:val="24"/>
                <w:szCs w:val="24"/>
                <w:highlight w:val="none"/>
              </w:rPr>
              <w:t>非优先采购产品的报价不得享受给予节能产品、环境标志产品的价格扣除优惠。</w:t>
            </w:r>
          </w:p>
          <w:p w14:paraId="364EABF8">
            <w:pPr>
              <w:pStyle w:val="30"/>
              <w:spacing w:line="360" w:lineRule="auto"/>
              <w:jc w:val="left"/>
              <w:rPr>
                <w:rFonts w:hint="eastAsia" w:ascii="仿宋" w:hAnsi="仿宋" w:eastAsia="仿宋" w:cs="仿宋"/>
                <w:kern w:val="0"/>
                <w:sz w:val="24"/>
                <w:szCs w:val="24"/>
                <w:highlight w:val="none"/>
              </w:rPr>
            </w:pPr>
            <w:r>
              <w:rPr>
                <w:rFonts w:hint="eastAsia" w:ascii="仿宋" w:hAnsi="仿宋" w:eastAsia="仿宋" w:cs="仿宋"/>
                <w:kern w:val="2"/>
                <w:sz w:val="24"/>
                <w:szCs w:val="24"/>
                <w:highlight w:val="none"/>
                <w:lang w:val="en-US" w:eastAsia="zh-CN"/>
              </w:rPr>
              <w:t>4、</w:t>
            </w:r>
            <w:r>
              <w:rPr>
                <w:rFonts w:ascii="仿宋" w:hAnsi="仿宋" w:eastAsia="仿宋" w:cs="仿宋"/>
                <w:kern w:val="2"/>
                <w:sz w:val="24"/>
                <w:szCs w:val="24"/>
                <w:highlight w:val="none"/>
              </w:rPr>
              <w:t>同一优先采购产品中各认证证书不重复计算价格扣除。强制类节能产品不进行价格扣除。</w:t>
            </w:r>
          </w:p>
        </w:tc>
      </w:tr>
    </w:tbl>
    <w:p w14:paraId="381964C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其他：无</w:t>
      </w:r>
    </w:p>
    <w:p w14:paraId="522D722A">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技术部分评分F2           满分</w:t>
      </w:r>
      <w:r>
        <w:rPr>
          <w:rFonts w:hint="eastAsia" w:ascii="仿宋" w:hAnsi="仿宋" w:eastAsia="仿宋" w:cs="仿宋"/>
          <w:b/>
          <w:bCs/>
          <w:kern w:val="0"/>
          <w:sz w:val="24"/>
          <w:highlight w:val="none"/>
          <w:u w:val="single"/>
          <w:lang w:val="en-US" w:eastAsia="zh-CN"/>
        </w:rPr>
        <w:t>55</w:t>
      </w:r>
      <w:r>
        <w:rPr>
          <w:rFonts w:hint="eastAsia" w:ascii="仿宋" w:hAnsi="仿宋" w:eastAsia="仿宋" w:cs="仿宋"/>
          <w:b/>
          <w:bCs/>
          <w:kern w:val="0"/>
          <w:sz w:val="24"/>
          <w:highlight w:val="none"/>
        </w:rPr>
        <w:t>分</w:t>
      </w:r>
    </w:p>
    <w:tbl>
      <w:tblPr>
        <w:tblStyle w:val="19"/>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64"/>
        <w:gridCol w:w="834"/>
        <w:gridCol w:w="7932"/>
      </w:tblGrid>
      <w:tr w14:paraId="78BE82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vAlign w:val="center"/>
          </w:tcPr>
          <w:p w14:paraId="219A2CE6">
            <w:pPr>
              <w:keepNext w:val="0"/>
              <w:keepLines w:val="0"/>
              <w:widowControl w:val="0"/>
              <w:suppressLineNumbers w:val="0"/>
              <w:spacing w:before="0" w:beforeAutospacing="0" w:after="0" w:afterAutospacing="0" w:line="360" w:lineRule="auto"/>
              <w:ind w:left="0" w:leftChars="0" w:right="0" w:rightChars="0"/>
              <w:jc w:val="center"/>
              <w:rPr>
                <w:rFonts w:hint="eastAsia" w:ascii="仿宋" w:hAnsi="仿宋" w:eastAsia="仿宋" w:cs="仿宋"/>
                <w:kern w:val="0"/>
                <w:sz w:val="24"/>
                <w:highlight w:val="none"/>
              </w:rPr>
            </w:pPr>
            <w:r>
              <w:rPr>
                <w:rFonts w:hint="eastAsia" w:ascii="仿宋" w:hAnsi="仿宋" w:eastAsia="仿宋" w:cs="宋体"/>
                <w:kern w:val="0"/>
                <w:sz w:val="24"/>
                <w:highlight w:val="none"/>
                <w:lang w:eastAsia="zh-CN"/>
              </w:rPr>
              <w:t>评审</w:t>
            </w:r>
            <w:r>
              <w:rPr>
                <w:rFonts w:hint="default" w:ascii="仿宋" w:hAnsi="仿宋" w:eastAsia="仿宋" w:cs="宋体"/>
                <w:kern w:val="0"/>
                <w:sz w:val="24"/>
                <w:highlight w:val="none"/>
              </w:rPr>
              <w:t>项目</w:t>
            </w:r>
          </w:p>
        </w:tc>
        <w:tc>
          <w:tcPr>
            <w:tcW w:w="834" w:type="dxa"/>
            <w:vAlign w:val="center"/>
          </w:tcPr>
          <w:p w14:paraId="0325528C">
            <w:pPr>
              <w:keepNext w:val="0"/>
              <w:keepLines w:val="0"/>
              <w:widowControl w:val="0"/>
              <w:suppressLineNumbers w:val="0"/>
              <w:spacing w:before="0" w:beforeAutospacing="0" w:after="0" w:afterAutospacing="0" w:line="360" w:lineRule="auto"/>
              <w:ind w:left="0" w:leftChars="0" w:right="0" w:rightChars="0"/>
              <w:jc w:val="center"/>
              <w:rPr>
                <w:rFonts w:hint="eastAsia" w:ascii="仿宋" w:hAnsi="仿宋" w:eastAsia="仿宋" w:cs="仿宋"/>
                <w:kern w:val="0"/>
                <w:sz w:val="24"/>
                <w:highlight w:val="none"/>
              </w:rPr>
            </w:pPr>
            <w:r>
              <w:rPr>
                <w:rFonts w:hint="eastAsia" w:ascii="仿宋" w:hAnsi="仿宋" w:eastAsia="仿宋" w:cs="宋体"/>
                <w:kern w:val="0"/>
                <w:sz w:val="24"/>
                <w:highlight w:val="none"/>
                <w:lang w:eastAsia="zh-CN"/>
              </w:rPr>
              <w:t>评审</w:t>
            </w:r>
            <w:r>
              <w:rPr>
                <w:rFonts w:hint="default" w:ascii="仿宋" w:hAnsi="仿宋" w:eastAsia="仿宋" w:cs="宋体"/>
                <w:kern w:val="0"/>
                <w:sz w:val="24"/>
                <w:highlight w:val="none"/>
              </w:rPr>
              <w:t>分值</w:t>
            </w:r>
          </w:p>
        </w:tc>
        <w:tc>
          <w:tcPr>
            <w:tcW w:w="7932" w:type="dxa"/>
            <w:vAlign w:val="center"/>
          </w:tcPr>
          <w:p w14:paraId="7C61DA02">
            <w:pPr>
              <w:keepNext w:val="0"/>
              <w:keepLines w:val="0"/>
              <w:widowControl w:val="0"/>
              <w:suppressLineNumbers w:val="0"/>
              <w:spacing w:before="0" w:beforeAutospacing="0" w:after="0" w:afterAutospacing="0" w:line="360" w:lineRule="auto"/>
              <w:ind w:left="0" w:leftChars="0" w:right="0" w:rightChars="0"/>
              <w:jc w:val="center"/>
              <w:rPr>
                <w:rFonts w:hint="eastAsia" w:ascii="仿宋" w:hAnsi="仿宋" w:eastAsia="仿宋" w:cs="仿宋"/>
                <w:kern w:val="0"/>
                <w:sz w:val="24"/>
                <w:highlight w:val="none"/>
              </w:rPr>
            </w:pPr>
            <w:r>
              <w:rPr>
                <w:rFonts w:hint="eastAsia" w:ascii="仿宋" w:hAnsi="仿宋" w:eastAsia="仿宋" w:cs="宋体"/>
                <w:kern w:val="0"/>
                <w:sz w:val="24"/>
                <w:highlight w:val="none"/>
                <w:lang w:eastAsia="zh-CN"/>
              </w:rPr>
              <w:t>评审</w:t>
            </w:r>
            <w:r>
              <w:rPr>
                <w:rFonts w:hint="default" w:ascii="仿宋" w:hAnsi="仿宋" w:eastAsia="仿宋" w:cs="宋体"/>
                <w:kern w:val="0"/>
                <w:sz w:val="24"/>
                <w:highlight w:val="none"/>
              </w:rPr>
              <w:t>方法描述</w:t>
            </w:r>
          </w:p>
        </w:tc>
      </w:tr>
      <w:tr w14:paraId="07A412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vAlign w:val="center"/>
          </w:tcPr>
          <w:p w14:paraId="502A7DDD">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1-1</w:t>
            </w:r>
          </w:p>
        </w:tc>
        <w:tc>
          <w:tcPr>
            <w:tcW w:w="834" w:type="dxa"/>
            <w:vAlign w:val="center"/>
          </w:tcPr>
          <w:p w14:paraId="77457576">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5</w:t>
            </w:r>
          </w:p>
        </w:tc>
        <w:tc>
          <w:tcPr>
            <w:tcW w:w="7932" w:type="dxa"/>
            <w:vAlign w:val="center"/>
          </w:tcPr>
          <w:p w14:paraId="22273197">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根据供应商提供的</w:t>
            </w:r>
            <w:r>
              <w:rPr>
                <w:rFonts w:hint="eastAsia" w:ascii="仿宋" w:hAnsi="仿宋" w:eastAsia="仿宋" w:cs="仿宋"/>
                <w:b/>
                <w:bCs/>
                <w:kern w:val="0"/>
                <w:sz w:val="24"/>
                <w:highlight w:val="none"/>
              </w:rPr>
              <w:t>现场踏勘情况</w:t>
            </w:r>
            <w:r>
              <w:rPr>
                <w:rFonts w:hint="eastAsia" w:ascii="仿宋" w:hAnsi="仿宋" w:eastAsia="仿宋" w:cs="仿宋"/>
                <w:kern w:val="0"/>
                <w:sz w:val="24"/>
                <w:highlight w:val="none"/>
              </w:rPr>
              <w:t>进行评价：</w:t>
            </w:r>
          </w:p>
          <w:p w14:paraId="6741C7A3">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①有提供完整的踏勘报告（含现场基本情况文字说明、不少于3张标注拍摄地点及时间的现场实景踏勘照片），有临时材料/设备堆放场地规划、施工现场条件分析、校园施工场地限制问题及解决措施、教学设施/原有供水构筑物防护措施，内容贴合本项目初中部二次供水系统改造实际的得2分。</w:t>
            </w:r>
          </w:p>
          <w:p w14:paraId="7A219653">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②在满足①的基础上，对本项目现场实际情况熟悉，报告包含原有水箱/管网/水泵现状分析、供水管径/材质/阀门位置核实、水压与供水负荷测算的得5分；</w:t>
            </w:r>
          </w:p>
          <w:p w14:paraId="62B9CD19">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③未提供或不满足以上要求的不得分。</w:t>
            </w:r>
          </w:p>
        </w:tc>
      </w:tr>
      <w:tr w14:paraId="4B4D1E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vAlign w:val="center"/>
          </w:tcPr>
          <w:p w14:paraId="46CFFA7C">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1-2</w:t>
            </w:r>
          </w:p>
        </w:tc>
        <w:tc>
          <w:tcPr>
            <w:tcW w:w="834" w:type="dxa"/>
            <w:vAlign w:val="center"/>
          </w:tcPr>
          <w:p w14:paraId="2F617DF7">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3</w:t>
            </w:r>
          </w:p>
        </w:tc>
        <w:tc>
          <w:tcPr>
            <w:tcW w:w="7932" w:type="dxa"/>
          </w:tcPr>
          <w:p w14:paraId="25B6338A">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Cs/>
                <w:kern w:val="2"/>
                <w:sz w:val="24"/>
                <w:szCs w:val="24"/>
                <w:highlight w:val="none"/>
              </w:rPr>
            </w:pPr>
            <w:r>
              <w:rPr>
                <w:rFonts w:hint="eastAsia" w:ascii="仿宋" w:hAnsi="仿宋" w:eastAsia="仿宋" w:cs="仿宋"/>
                <w:bCs/>
                <w:kern w:val="2"/>
                <w:sz w:val="24"/>
                <w:szCs w:val="24"/>
                <w:highlight w:val="none"/>
                <w:lang w:eastAsia="zh-CN"/>
              </w:rPr>
              <w:t>根据供应商拟为本项目配备的</w:t>
            </w:r>
            <w:r>
              <w:rPr>
                <w:rFonts w:hint="eastAsia" w:ascii="仿宋" w:hAnsi="仿宋" w:eastAsia="仿宋" w:cs="仿宋"/>
                <w:b/>
                <w:kern w:val="2"/>
                <w:sz w:val="24"/>
                <w:szCs w:val="24"/>
                <w:highlight w:val="none"/>
                <w:lang w:eastAsia="zh-CN"/>
              </w:rPr>
              <w:t>项目负责人</w:t>
            </w:r>
            <w:r>
              <w:rPr>
                <w:rFonts w:hint="eastAsia" w:ascii="仿宋" w:hAnsi="仿宋" w:eastAsia="仿宋" w:cs="仿宋"/>
                <w:bCs/>
                <w:kern w:val="2"/>
                <w:sz w:val="24"/>
                <w:szCs w:val="24"/>
                <w:highlight w:val="none"/>
                <w:lang w:eastAsia="zh-CN"/>
              </w:rPr>
              <w:t>进行评价</w:t>
            </w:r>
            <w:r>
              <w:rPr>
                <w:rFonts w:hint="eastAsia" w:ascii="仿宋" w:hAnsi="仿宋" w:eastAsia="仿宋" w:cs="仿宋"/>
                <w:bCs/>
                <w:kern w:val="2"/>
                <w:sz w:val="24"/>
                <w:szCs w:val="24"/>
                <w:highlight w:val="none"/>
              </w:rPr>
              <w:t>：</w:t>
            </w:r>
          </w:p>
          <w:p w14:paraId="5D83B25E">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仿宋" w:hAnsi="仿宋" w:eastAsia="仿宋" w:cs="仿宋"/>
                <w:bCs/>
                <w:iCs/>
                <w:sz w:val="24"/>
                <w:highlight w:val="none"/>
                <w:lang w:val="en-US" w:eastAsia="zh-CN"/>
              </w:rPr>
            </w:pPr>
            <w:r>
              <w:rPr>
                <w:rFonts w:hint="eastAsia" w:ascii="仿宋" w:hAnsi="仿宋" w:eastAsia="仿宋" w:cs="仿宋"/>
                <w:bCs/>
                <w:kern w:val="2"/>
                <w:sz w:val="24"/>
                <w:szCs w:val="24"/>
                <w:highlight w:val="none"/>
              </w:rPr>
              <w:t>持有合格</w:t>
            </w:r>
            <w:r>
              <w:rPr>
                <w:rFonts w:hint="eastAsia" w:ascii="仿宋" w:hAnsi="仿宋" w:eastAsia="仿宋" w:cs="仿宋"/>
                <w:b w:val="0"/>
                <w:bCs/>
                <w:kern w:val="2"/>
                <w:sz w:val="24"/>
                <w:szCs w:val="24"/>
                <w:highlight w:val="none"/>
                <w:u w:val="none"/>
              </w:rPr>
              <w:t>有效的</w:t>
            </w:r>
            <w:r>
              <w:rPr>
                <w:rFonts w:hint="eastAsia" w:ascii="仿宋" w:hAnsi="仿宋" w:eastAsia="仿宋" w:cs="仿宋"/>
                <w:b/>
                <w:bCs w:val="0"/>
                <w:kern w:val="2"/>
                <w:sz w:val="24"/>
                <w:szCs w:val="24"/>
                <w:highlight w:val="none"/>
                <w:u w:val="none"/>
              </w:rPr>
              <w:t>机电工程专业或市政公用工程专业</w:t>
            </w:r>
            <w:r>
              <w:rPr>
                <w:rFonts w:hint="eastAsia" w:ascii="仿宋" w:hAnsi="仿宋" w:eastAsia="仿宋" w:cs="仿宋"/>
                <w:b/>
                <w:bCs w:val="0"/>
                <w:iCs/>
                <w:sz w:val="24"/>
                <w:highlight w:val="none"/>
                <w:u w:val="none"/>
                <w:lang w:val="en-US" w:eastAsia="zh-CN"/>
              </w:rPr>
              <w:t>二</w:t>
            </w:r>
            <w:r>
              <w:rPr>
                <w:rFonts w:hint="eastAsia" w:ascii="仿宋" w:hAnsi="仿宋" w:eastAsia="仿宋" w:cs="仿宋"/>
                <w:b/>
                <w:bCs w:val="0"/>
                <w:iCs/>
                <w:sz w:val="24"/>
                <w:highlight w:val="none"/>
                <w:u w:val="none"/>
              </w:rPr>
              <w:t>级</w:t>
            </w:r>
            <w:r>
              <w:rPr>
                <w:rFonts w:hint="eastAsia" w:ascii="仿宋" w:hAnsi="仿宋" w:eastAsia="仿宋" w:cs="仿宋"/>
                <w:b/>
                <w:bCs w:val="0"/>
                <w:iCs/>
                <w:sz w:val="24"/>
                <w:highlight w:val="none"/>
                <w:u w:val="none"/>
                <w:lang w:val="en-US" w:eastAsia="zh-CN"/>
              </w:rPr>
              <w:t>或</w:t>
            </w:r>
            <w:r>
              <w:rPr>
                <w:rFonts w:hint="eastAsia" w:ascii="仿宋" w:hAnsi="仿宋" w:eastAsia="仿宋" w:cs="仿宋"/>
                <w:b/>
                <w:bCs w:val="0"/>
                <w:iCs/>
                <w:sz w:val="24"/>
                <w:highlight w:val="none"/>
                <w:u w:val="none"/>
              </w:rPr>
              <w:t>以上注册建</w:t>
            </w:r>
            <w:r>
              <w:rPr>
                <w:rFonts w:hint="eastAsia" w:ascii="仿宋" w:hAnsi="仿宋" w:eastAsia="仿宋" w:cs="仿宋"/>
                <w:b/>
                <w:bCs w:val="0"/>
                <w:iCs/>
                <w:sz w:val="24"/>
                <w:highlight w:val="none"/>
              </w:rPr>
              <w:t>造师</w:t>
            </w:r>
            <w:r>
              <w:rPr>
                <w:rFonts w:hint="eastAsia" w:ascii="仿宋" w:hAnsi="仿宋" w:eastAsia="仿宋" w:cs="仿宋"/>
                <w:b/>
                <w:bCs w:val="0"/>
                <w:iCs/>
                <w:sz w:val="24"/>
                <w:highlight w:val="none"/>
                <w:lang w:val="en-US" w:eastAsia="zh-CN"/>
              </w:rPr>
              <w:t>证书</w:t>
            </w:r>
            <w:r>
              <w:rPr>
                <w:rFonts w:hint="eastAsia" w:ascii="仿宋" w:hAnsi="仿宋" w:eastAsia="仿宋" w:cs="仿宋"/>
                <w:bCs/>
                <w:iCs/>
                <w:sz w:val="24"/>
                <w:highlight w:val="none"/>
                <w:lang w:val="en-US" w:eastAsia="zh-CN"/>
              </w:rPr>
              <w:t>以及</w:t>
            </w:r>
            <w:r>
              <w:rPr>
                <w:rFonts w:hint="eastAsia" w:ascii="仿宋" w:hAnsi="仿宋" w:eastAsia="仿宋" w:cs="仿宋"/>
                <w:bCs/>
                <w:iCs/>
                <w:sz w:val="24"/>
                <w:highlight w:val="none"/>
              </w:rPr>
              <w:t>城乡建设行政主管部门颁发的合格有效的安全生产考核合格证书B证</w:t>
            </w:r>
            <w:r>
              <w:rPr>
                <w:rFonts w:hint="eastAsia" w:ascii="仿宋" w:hAnsi="仿宋" w:eastAsia="仿宋" w:cs="仿宋"/>
                <w:bCs/>
                <w:iCs/>
                <w:sz w:val="24"/>
                <w:highlight w:val="none"/>
                <w:lang w:eastAsia="zh-CN"/>
              </w:rPr>
              <w:t>的</w:t>
            </w:r>
            <w:r>
              <w:rPr>
                <w:rFonts w:hint="eastAsia" w:ascii="仿宋" w:hAnsi="仿宋" w:eastAsia="仿宋" w:cs="仿宋"/>
                <w:bCs/>
                <w:iCs/>
                <w:sz w:val="24"/>
                <w:highlight w:val="none"/>
                <w:lang w:val="en-US" w:eastAsia="zh-CN"/>
              </w:rPr>
              <w:t>得1分；在此基础上，持有</w:t>
            </w:r>
            <w:r>
              <w:rPr>
                <w:rFonts w:hint="eastAsia" w:ascii="仿宋" w:hAnsi="仿宋" w:eastAsia="仿宋" w:cs="仿宋"/>
                <w:bCs/>
                <w:kern w:val="2"/>
                <w:sz w:val="24"/>
                <w:szCs w:val="24"/>
                <w:highlight w:val="none"/>
              </w:rPr>
              <w:t>合格</w:t>
            </w:r>
            <w:r>
              <w:rPr>
                <w:rFonts w:hint="eastAsia" w:ascii="仿宋" w:hAnsi="仿宋" w:eastAsia="仿宋" w:cs="仿宋"/>
                <w:b w:val="0"/>
                <w:bCs/>
                <w:kern w:val="2"/>
                <w:sz w:val="24"/>
                <w:szCs w:val="24"/>
                <w:highlight w:val="none"/>
                <w:u w:val="none"/>
              </w:rPr>
              <w:t>有效的</w:t>
            </w:r>
            <w:r>
              <w:rPr>
                <w:rFonts w:hint="eastAsia" w:ascii="仿宋" w:hAnsi="仿宋" w:eastAsia="仿宋" w:cs="仿宋"/>
                <w:bCs/>
                <w:iCs/>
                <w:sz w:val="24"/>
                <w:highlight w:val="none"/>
                <w:u w:val="none"/>
                <w:lang w:val="en-US" w:eastAsia="zh-CN"/>
              </w:rPr>
              <w:t>给排水工程专业中级及以上工程师职称</w:t>
            </w:r>
            <w:r>
              <w:rPr>
                <w:rFonts w:hint="eastAsia" w:ascii="仿宋" w:hAnsi="仿宋" w:eastAsia="仿宋" w:cs="仿宋"/>
                <w:bCs/>
                <w:iCs/>
                <w:kern w:val="2"/>
                <w:sz w:val="24"/>
                <w:szCs w:val="24"/>
                <w:highlight w:val="none"/>
                <w:lang w:val="en-US" w:eastAsia="zh-CN" w:bidi="ar-SA"/>
              </w:rPr>
              <w:t>证书的加2分，满分3分。</w:t>
            </w:r>
          </w:p>
          <w:p w14:paraId="1DB0D3F9">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bCs/>
                <w:kern w:val="2"/>
                <w:sz w:val="24"/>
                <w:szCs w:val="24"/>
                <w:highlight w:val="none"/>
              </w:rPr>
              <w:t>注：须</w:t>
            </w:r>
            <w:r>
              <w:rPr>
                <w:rFonts w:hint="eastAsia" w:ascii="仿宋" w:hAnsi="仿宋" w:eastAsia="仿宋" w:cs="仿宋"/>
                <w:bCs/>
                <w:kern w:val="2"/>
                <w:sz w:val="24"/>
                <w:szCs w:val="24"/>
                <w:highlight w:val="none"/>
                <w:lang w:val="en-US" w:eastAsia="zh-CN"/>
              </w:rPr>
              <w:t>同时</w:t>
            </w:r>
            <w:r>
              <w:rPr>
                <w:rFonts w:hint="eastAsia" w:ascii="仿宋" w:hAnsi="仿宋" w:eastAsia="仿宋" w:cs="仿宋"/>
                <w:bCs/>
                <w:kern w:val="2"/>
                <w:sz w:val="24"/>
                <w:szCs w:val="24"/>
                <w:highlight w:val="none"/>
              </w:rPr>
              <w:t>提供项目负责人</w:t>
            </w:r>
            <w:r>
              <w:rPr>
                <w:rFonts w:hint="eastAsia" w:ascii="仿宋" w:hAnsi="仿宋" w:eastAsia="仿宋" w:cs="仿宋"/>
                <w:bCs/>
                <w:kern w:val="2"/>
                <w:sz w:val="24"/>
                <w:szCs w:val="24"/>
                <w:highlight w:val="none"/>
                <w:lang w:val="en-US" w:eastAsia="zh-CN"/>
              </w:rPr>
              <w:t>上述</w:t>
            </w:r>
            <w:r>
              <w:rPr>
                <w:rFonts w:hint="eastAsia" w:ascii="仿宋" w:hAnsi="仿宋" w:eastAsia="仿宋" w:cs="仿宋"/>
                <w:bCs/>
                <w:kern w:val="2"/>
                <w:sz w:val="24"/>
                <w:szCs w:val="24"/>
                <w:highlight w:val="none"/>
              </w:rPr>
              <w:t>证书</w:t>
            </w:r>
            <w:r>
              <w:rPr>
                <w:rFonts w:hint="eastAsia" w:ascii="仿宋" w:hAnsi="仿宋" w:eastAsia="仿宋" w:cs="仿宋"/>
                <w:bCs/>
                <w:kern w:val="2"/>
                <w:sz w:val="24"/>
                <w:szCs w:val="24"/>
                <w:highlight w:val="none"/>
                <w:lang w:val="en-US" w:eastAsia="zh-CN"/>
              </w:rPr>
              <w:t>扫描件以及</w:t>
            </w:r>
            <w:r>
              <w:rPr>
                <w:rFonts w:hint="eastAsia" w:ascii="仿宋" w:hAnsi="仿宋" w:eastAsia="仿宋" w:cs="仿宋"/>
                <w:bCs/>
                <w:kern w:val="2"/>
                <w:sz w:val="24"/>
                <w:szCs w:val="24"/>
                <w:highlight w:val="none"/>
              </w:rPr>
              <w:t>近6个月内</w:t>
            </w:r>
            <w:r>
              <w:rPr>
                <w:rFonts w:hint="eastAsia" w:ascii="仿宋" w:hAnsi="仿宋" w:eastAsia="仿宋" w:cs="仿宋"/>
                <w:bCs/>
                <w:kern w:val="2"/>
                <w:sz w:val="24"/>
                <w:szCs w:val="24"/>
                <w:highlight w:val="none"/>
                <w:lang w:eastAsia="zh-CN"/>
              </w:rPr>
              <w:t>（</w:t>
            </w:r>
            <w:r>
              <w:rPr>
                <w:rFonts w:hint="default" w:ascii="仿宋" w:hAnsi="仿宋" w:eastAsia="仿宋" w:cs="宋体"/>
                <w:kern w:val="0"/>
                <w:sz w:val="24"/>
                <w:szCs w:val="24"/>
                <w:highlight w:val="none"/>
                <w:lang w:val="en-US" w:eastAsia="zh-CN" w:bidi="ar-SA"/>
              </w:rPr>
              <w:t>不含提交响应文件截止时间的当月</w:t>
            </w:r>
            <w:r>
              <w:rPr>
                <w:rFonts w:hint="eastAsia" w:ascii="仿宋" w:hAnsi="仿宋" w:eastAsia="仿宋" w:cs="仿宋"/>
                <w:bCs/>
                <w:kern w:val="2"/>
                <w:sz w:val="24"/>
                <w:szCs w:val="24"/>
                <w:highlight w:val="none"/>
              </w:rPr>
              <w:t>）</w:t>
            </w:r>
            <w:r>
              <w:rPr>
                <w:rFonts w:hint="eastAsia" w:ascii="仿宋" w:hAnsi="仿宋" w:eastAsia="仿宋" w:cs="仿宋"/>
                <w:bCs/>
                <w:kern w:val="2"/>
                <w:sz w:val="24"/>
                <w:szCs w:val="24"/>
                <w:highlight w:val="none"/>
                <w:lang w:eastAsia="zh-CN"/>
              </w:rPr>
              <w:t>任意一个月供应商为其</w:t>
            </w:r>
            <w:r>
              <w:rPr>
                <w:rFonts w:hint="eastAsia" w:ascii="仿宋" w:hAnsi="仿宋" w:eastAsia="仿宋" w:cs="仿宋"/>
                <w:bCs/>
                <w:kern w:val="2"/>
                <w:sz w:val="24"/>
                <w:szCs w:val="24"/>
                <w:highlight w:val="none"/>
              </w:rPr>
              <w:t>缴交社保的证明材料</w:t>
            </w:r>
            <w:r>
              <w:rPr>
                <w:rFonts w:hint="eastAsia" w:ascii="仿宋" w:hAnsi="仿宋" w:eastAsia="仿宋" w:cs="仿宋"/>
                <w:bCs/>
                <w:kern w:val="2"/>
                <w:sz w:val="24"/>
                <w:szCs w:val="24"/>
                <w:highlight w:val="none"/>
                <w:lang w:val="en-US" w:eastAsia="zh-CN"/>
              </w:rPr>
              <w:t>扫描件</w:t>
            </w:r>
            <w:r>
              <w:rPr>
                <w:rFonts w:hint="eastAsia" w:ascii="仿宋" w:hAnsi="仿宋" w:eastAsia="仿宋" w:cs="仿宋"/>
                <w:bCs/>
                <w:kern w:val="2"/>
                <w:sz w:val="24"/>
                <w:szCs w:val="24"/>
                <w:highlight w:val="none"/>
              </w:rPr>
              <w:t>，否则不得分。</w:t>
            </w:r>
          </w:p>
        </w:tc>
      </w:tr>
      <w:tr w14:paraId="3FEBD9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vAlign w:val="center"/>
          </w:tcPr>
          <w:p w14:paraId="0EE533EA">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1-3</w:t>
            </w:r>
          </w:p>
        </w:tc>
        <w:tc>
          <w:tcPr>
            <w:tcW w:w="834" w:type="dxa"/>
            <w:vAlign w:val="center"/>
          </w:tcPr>
          <w:p w14:paraId="2E32D657">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3</w:t>
            </w:r>
          </w:p>
        </w:tc>
        <w:tc>
          <w:tcPr>
            <w:tcW w:w="7932" w:type="dxa"/>
          </w:tcPr>
          <w:p w14:paraId="4DD9D39D">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Cs/>
                <w:kern w:val="2"/>
                <w:sz w:val="24"/>
                <w:szCs w:val="24"/>
                <w:highlight w:val="none"/>
              </w:rPr>
            </w:pPr>
            <w:r>
              <w:rPr>
                <w:rFonts w:hint="eastAsia" w:ascii="仿宋" w:hAnsi="仿宋" w:eastAsia="仿宋" w:cs="仿宋"/>
                <w:bCs/>
                <w:kern w:val="2"/>
                <w:sz w:val="24"/>
                <w:szCs w:val="24"/>
                <w:highlight w:val="none"/>
                <w:lang w:eastAsia="zh-CN"/>
              </w:rPr>
              <w:t>根据供应商拟为本项目配备的</w:t>
            </w:r>
            <w:r>
              <w:rPr>
                <w:rFonts w:hint="eastAsia" w:ascii="仿宋" w:hAnsi="仿宋" w:eastAsia="仿宋" w:cs="仿宋"/>
                <w:b/>
                <w:kern w:val="2"/>
                <w:sz w:val="24"/>
                <w:szCs w:val="24"/>
                <w:highlight w:val="none"/>
                <w:lang w:eastAsia="zh-CN"/>
              </w:rPr>
              <w:t>技术负责人</w:t>
            </w:r>
            <w:r>
              <w:rPr>
                <w:rFonts w:hint="eastAsia" w:ascii="仿宋" w:hAnsi="仿宋" w:eastAsia="仿宋" w:cs="仿宋"/>
                <w:bCs/>
                <w:kern w:val="2"/>
                <w:sz w:val="24"/>
                <w:szCs w:val="24"/>
                <w:highlight w:val="none"/>
                <w:lang w:eastAsia="zh-CN"/>
              </w:rPr>
              <w:t>进行评价</w:t>
            </w:r>
            <w:r>
              <w:rPr>
                <w:rFonts w:hint="eastAsia" w:ascii="仿宋" w:hAnsi="仿宋" w:eastAsia="仿宋" w:cs="仿宋"/>
                <w:bCs/>
                <w:kern w:val="2"/>
                <w:sz w:val="24"/>
                <w:szCs w:val="24"/>
                <w:highlight w:val="none"/>
              </w:rPr>
              <w:t>：</w:t>
            </w:r>
          </w:p>
          <w:p w14:paraId="7409ACCE">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Cs/>
                <w:iCs/>
                <w:kern w:val="2"/>
                <w:sz w:val="24"/>
                <w:szCs w:val="24"/>
                <w:highlight w:val="none"/>
                <w:lang w:val="en-US" w:eastAsia="zh-CN" w:bidi="ar-SA"/>
              </w:rPr>
            </w:pPr>
            <w:r>
              <w:rPr>
                <w:rFonts w:hint="eastAsia" w:ascii="仿宋" w:hAnsi="仿宋" w:eastAsia="仿宋" w:cs="仿宋"/>
                <w:bCs/>
                <w:iCs/>
                <w:sz w:val="24"/>
                <w:highlight w:val="none"/>
                <w:u w:val="none"/>
                <w:lang w:val="en-US" w:eastAsia="zh-CN"/>
              </w:rPr>
              <w:t>持有给排水、机电、建筑工程或市政公用工程专业中级及以上职称证书的</w:t>
            </w:r>
            <w:r>
              <w:rPr>
                <w:rFonts w:hint="eastAsia" w:ascii="仿宋" w:hAnsi="仿宋" w:eastAsia="仿宋" w:cs="仿宋"/>
                <w:bCs/>
                <w:iCs/>
                <w:kern w:val="2"/>
                <w:sz w:val="24"/>
                <w:szCs w:val="24"/>
                <w:highlight w:val="none"/>
                <w:lang w:val="en-US" w:eastAsia="zh-CN" w:bidi="ar-SA"/>
              </w:rPr>
              <w:t>得1.5分；</w:t>
            </w:r>
          </w:p>
          <w:p w14:paraId="4A45A38D">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仿宋" w:hAnsi="仿宋" w:eastAsia="仿宋" w:cs="仿宋"/>
                <w:bCs/>
                <w:iCs/>
                <w:kern w:val="2"/>
                <w:sz w:val="24"/>
                <w:szCs w:val="24"/>
                <w:highlight w:val="none"/>
                <w:lang w:val="en-US" w:eastAsia="zh-CN" w:bidi="ar-SA"/>
              </w:rPr>
            </w:pPr>
            <w:r>
              <w:rPr>
                <w:rFonts w:hint="eastAsia" w:ascii="仿宋" w:hAnsi="仿宋" w:eastAsia="仿宋" w:cs="仿宋"/>
                <w:bCs/>
                <w:iCs/>
                <w:sz w:val="24"/>
                <w:highlight w:val="none"/>
                <w:u w:val="none"/>
                <w:lang w:val="en-US" w:eastAsia="zh-CN"/>
              </w:rPr>
              <w:t>持有给排水、机电、建筑工程或市政公用工程专业高级工程师职称</w:t>
            </w:r>
            <w:r>
              <w:rPr>
                <w:rFonts w:hint="eastAsia" w:ascii="仿宋" w:hAnsi="仿宋" w:eastAsia="仿宋" w:cs="仿宋"/>
                <w:bCs/>
                <w:iCs/>
                <w:kern w:val="2"/>
                <w:sz w:val="24"/>
                <w:szCs w:val="24"/>
                <w:highlight w:val="none"/>
                <w:lang w:val="en-US" w:eastAsia="zh-CN" w:bidi="ar-SA"/>
              </w:rPr>
              <w:t>证书的得3分。</w:t>
            </w:r>
          </w:p>
          <w:p w14:paraId="46AC80AD">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bCs/>
                <w:kern w:val="2"/>
                <w:sz w:val="24"/>
                <w:szCs w:val="24"/>
                <w:highlight w:val="none"/>
              </w:rPr>
              <w:t>注：须</w:t>
            </w:r>
            <w:r>
              <w:rPr>
                <w:rFonts w:hint="eastAsia" w:ascii="仿宋" w:hAnsi="仿宋" w:eastAsia="仿宋" w:cs="仿宋"/>
                <w:bCs/>
                <w:kern w:val="2"/>
                <w:sz w:val="24"/>
                <w:szCs w:val="24"/>
                <w:highlight w:val="none"/>
                <w:lang w:val="en-US" w:eastAsia="zh-CN"/>
              </w:rPr>
              <w:t>同时</w:t>
            </w:r>
            <w:r>
              <w:rPr>
                <w:rFonts w:hint="eastAsia" w:ascii="仿宋" w:hAnsi="仿宋" w:eastAsia="仿宋" w:cs="仿宋"/>
                <w:bCs/>
                <w:kern w:val="2"/>
                <w:sz w:val="24"/>
                <w:szCs w:val="24"/>
                <w:highlight w:val="none"/>
              </w:rPr>
              <w:t>提供技术负责人的职称证书、</w:t>
            </w:r>
            <w:r>
              <w:rPr>
                <w:rFonts w:hint="eastAsia" w:ascii="仿宋" w:hAnsi="仿宋" w:eastAsia="仿宋" w:cs="仿宋"/>
                <w:bCs/>
                <w:kern w:val="2"/>
                <w:sz w:val="24"/>
                <w:szCs w:val="24"/>
                <w:highlight w:val="none"/>
                <w:lang w:val="en-US" w:eastAsia="zh-CN"/>
              </w:rPr>
              <w:t>以</w:t>
            </w:r>
            <w:r>
              <w:rPr>
                <w:rFonts w:hint="eastAsia" w:ascii="仿宋" w:hAnsi="仿宋" w:eastAsia="仿宋" w:cs="仿宋"/>
                <w:bCs/>
                <w:kern w:val="2"/>
                <w:sz w:val="24"/>
                <w:szCs w:val="24"/>
                <w:highlight w:val="none"/>
              </w:rPr>
              <w:t>及近6个月内</w:t>
            </w:r>
            <w:r>
              <w:rPr>
                <w:rFonts w:hint="eastAsia" w:ascii="仿宋" w:hAnsi="仿宋" w:eastAsia="仿宋" w:cs="仿宋"/>
                <w:bCs/>
                <w:kern w:val="2"/>
                <w:sz w:val="24"/>
                <w:szCs w:val="24"/>
                <w:highlight w:val="none"/>
                <w:lang w:eastAsia="zh-CN"/>
              </w:rPr>
              <w:t>（</w:t>
            </w:r>
            <w:r>
              <w:rPr>
                <w:rFonts w:hint="default" w:ascii="仿宋" w:hAnsi="仿宋" w:eastAsia="仿宋" w:cs="宋体"/>
                <w:kern w:val="0"/>
                <w:sz w:val="24"/>
                <w:szCs w:val="24"/>
                <w:highlight w:val="none"/>
                <w:lang w:val="en-US" w:eastAsia="zh-CN" w:bidi="ar-SA"/>
              </w:rPr>
              <w:t>不含提交响应文件截止时间的当月</w:t>
            </w:r>
            <w:r>
              <w:rPr>
                <w:rFonts w:hint="eastAsia" w:ascii="仿宋" w:hAnsi="仿宋" w:eastAsia="仿宋" w:cs="仿宋"/>
                <w:bCs/>
                <w:kern w:val="2"/>
                <w:sz w:val="24"/>
                <w:szCs w:val="24"/>
                <w:highlight w:val="none"/>
              </w:rPr>
              <w:t>）</w:t>
            </w:r>
            <w:r>
              <w:rPr>
                <w:rFonts w:hint="eastAsia" w:ascii="仿宋" w:hAnsi="仿宋" w:eastAsia="仿宋" w:cs="仿宋"/>
                <w:bCs/>
                <w:kern w:val="2"/>
                <w:sz w:val="24"/>
                <w:szCs w:val="24"/>
                <w:highlight w:val="none"/>
                <w:lang w:eastAsia="zh-CN"/>
              </w:rPr>
              <w:t>任意一个月供应商为其</w:t>
            </w:r>
            <w:r>
              <w:rPr>
                <w:rFonts w:hint="eastAsia" w:ascii="仿宋" w:hAnsi="仿宋" w:eastAsia="仿宋" w:cs="仿宋"/>
                <w:bCs/>
                <w:kern w:val="2"/>
                <w:sz w:val="24"/>
                <w:szCs w:val="24"/>
                <w:highlight w:val="none"/>
              </w:rPr>
              <w:t>缴交社保的证明材料</w:t>
            </w:r>
            <w:r>
              <w:rPr>
                <w:rFonts w:hint="eastAsia" w:ascii="仿宋" w:hAnsi="仿宋" w:eastAsia="仿宋" w:cs="仿宋"/>
                <w:bCs/>
                <w:kern w:val="2"/>
                <w:sz w:val="24"/>
                <w:szCs w:val="24"/>
                <w:highlight w:val="none"/>
                <w:lang w:val="en-US" w:eastAsia="zh-CN"/>
              </w:rPr>
              <w:t>扫描件</w:t>
            </w:r>
            <w:r>
              <w:rPr>
                <w:rFonts w:hint="eastAsia" w:ascii="仿宋" w:hAnsi="仿宋" w:eastAsia="仿宋" w:cs="仿宋"/>
                <w:bCs/>
                <w:kern w:val="2"/>
                <w:sz w:val="24"/>
                <w:szCs w:val="24"/>
                <w:highlight w:val="none"/>
              </w:rPr>
              <w:t>，否则不得分。</w:t>
            </w:r>
          </w:p>
        </w:tc>
      </w:tr>
      <w:tr w14:paraId="6C0D36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shd w:val="clear" w:color="auto" w:fill="auto"/>
            <w:vAlign w:val="center"/>
          </w:tcPr>
          <w:p w14:paraId="32B93C4E">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1-4</w:t>
            </w:r>
          </w:p>
        </w:tc>
        <w:tc>
          <w:tcPr>
            <w:tcW w:w="834" w:type="dxa"/>
            <w:vAlign w:val="center"/>
          </w:tcPr>
          <w:p w14:paraId="76827B62">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1</w:t>
            </w:r>
          </w:p>
        </w:tc>
        <w:tc>
          <w:tcPr>
            <w:tcW w:w="7932" w:type="dxa"/>
          </w:tcPr>
          <w:p w14:paraId="4921BAF0">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Cs/>
                <w:iCs/>
                <w:kern w:val="2"/>
                <w:sz w:val="24"/>
                <w:szCs w:val="24"/>
                <w:highlight w:val="none"/>
                <w:lang w:val="en-US" w:eastAsia="zh-CN" w:bidi="ar-SA"/>
              </w:rPr>
            </w:pPr>
            <w:r>
              <w:rPr>
                <w:rFonts w:hint="eastAsia" w:ascii="仿宋" w:hAnsi="仿宋" w:eastAsia="仿宋" w:cs="仿宋"/>
                <w:bCs/>
                <w:kern w:val="2"/>
                <w:sz w:val="24"/>
                <w:szCs w:val="24"/>
                <w:highlight w:val="none"/>
                <w:lang w:eastAsia="zh-CN"/>
              </w:rPr>
              <w:t>根据供应</w:t>
            </w:r>
            <w:r>
              <w:rPr>
                <w:rFonts w:hint="eastAsia" w:ascii="仿宋" w:hAnsi="仿宋" w:eastAsia="仿宋" w:cs="仿宋"/>
                <w:bCs/>
                <w:iCs/>
                <w:kern w:val="2"/>
                <w:sz w:val="24"/>
                <w:szCs w:val="24"/>
                <w:highlight w:val="none"/>
                <w:lang w:val="en-US" w:eastAsia="zh-CN" w:bidi="ar-SA"/>
              </w:rPr>
              <w:t>商拟为本项目配备的</w:t>
            </w:r>
            <w:r>
              <w:rPr>
                <w:rFonts w:hint="eastAsia" w:ascii="仿宋" w:hAnsi="仿宋" w:eastAsia="仿宋" w:cs="仿宋"/>
                <w:b/>
                <w:bCs w:val="0"/>
                <w:iCs/>
                <w:kern w:val="2"/>
                <w:sz w:val="24"/>
                <w:szCs w:val="24"/>
                <w:highlight w:val="none"/>
                <w:lang w:val="en-US" w:eastAsia="zh-CN" w:bidi="ar-SA"/>
              </w:rPr>
              <w:t>安全员</w:t>
            </w:r>
            <w:r>
              <w:rPr>
                <w:rFonts w:hint="eastAsia" w:ascii="仿宋" w:hAnsi="仿宋" w:eastAsia="仿宋" w:cs="仿宋"/>
                <w:bCs/>
                <w:iCs/>
                <w:kern w:val="2"/>
                <w:sz w:val="24"/>
                <w:szCs w:val="24"/>
                <w:highlight w:val="none"/>
                <w:lang w:val="en-US" w:eastAsia="zh-CN" w:bidi="ar-SA"/>
              </w:rPr>
              <w:t>进行评价：</w:t>
            </w:r>
          </w:p>
          <w:p w14:paraId="02E284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Cs/>
                <w:iCs/>
                <w:kern w:val="2"/>
                <w:sz w:val="24"/>
                <w:szCs w:val="24"/>
                <w:highlight w:val="none"/>
                <w:lang w:val="en-US" w:eastAsia="zh-CN" w:bidi="ar-SA"/>
              </w:rPr>
            </w:pPr>
            <w:r>
              <w:rPr>
                <w:rFonts w:hint="eastAsia" w:ascii="仿宋" w:hAnsi="仿宋" w:eastAsia="仿宋" w:cs="仿宋"/>
                <w:bCs/>
                <w:iCs/>
                <w:kern w:val="2"/>
                <w:sz w:val="24"/>
                <w:szCs w:val="24"/>
                <w:highlight w:val="none"/>
                <w:lang w:val="en-US" w:eastAsia="zh-CN" w:bidi="ar-SA"/>
              </w:rPr>
              <w:t>持有安全生产考核合格证书C证的得1分；</w:t>
            </w:r>
          </w:p>
          <w:p w14:paraId="074B100A">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bCs/>
                <w:kern w:val="2"/>
                <w:sz w:val="24"/>
                <w:szCs w:val="24"/>
                <w:highlight w:val="none"/>
              </w:rPr>
              <w:t>注：须</w:t>
            </w:r>
            <w:r>
              <w:rPr>
                <w:rFonts w:hint="eastAsia" w:ascii="仿宋" w:hAnsi="仿宋" w:eastAsia="仿宋" w:cs="仿宋"/>
                <w:bCs/>
                <w:kern w:val="2"/>
                <w:sz w:val="24"/>
                <w:szCs w:val="24"/>
                <w:highlight w:val="none"/>
                <w:lang w:val="en-US" w:eastAsia="zh-CN"/>
              </w:rPr>
              <w:t>同时</w:t>
            </w:r>
            <w:r>
              <w:rPr>
                <w:rFonts w:hint="eastAsia" w:ascii="仿宋" w:hAnsi="仿宋" w:eastAsia="仿宋" w:cs="仿宋"/>
                <w:bCs/>
                <w:kern w:val="2"/>
                <w:sz w:val="24"/>
                <w:szCs w:val="24"/>
                <w:highlight w:val="none"/>
              </w:rPr>
              <w:t>提供证书</w:t>
            </w:r>
            <w:r>
              <w:rPr>
                <w:rFonts w:hint="eastAsia" w:ascii="仿宋" w:hAnsi="仿宋" w:eastAsia="仿宋" w:cs="仿宋"/>
                <w:bCs/>
                <w:kern w:val="2"/>
                <w:sz w:val="24"/>
                <w:szCs w:val="24"/>
                <w:highlight w:val="none"/>
                <w:lang w:val="en-US" w:eastAsia="zh-CN"/>
              </w:rPr>
              <w:t>扫描件以</w:t>
            </w:r>
            <w:r>
              <w:rPr>
                <w:rFonts w:hint="eastAsia" w:ascii="仿宋" w:hAnsi="仿宋" w:eastAsia="仿宋" w:cs="仿宋"/>
                <w:bCs/>
                <w:kern w:val="2"/>
                <w:sz w:val="24"/>
                <w:szCs w:val="24"/>
                <w:highlight w:val="none"/>
              </w:rPr>
              <w:t>及近6个月内</w:t>
            </w:r>
            <w:r>
              <w:rPr>
                <w:rFonts w:hint="eastAsia" w:ascii="仿宋" w:hAnsi="仿宋" w:eastAsia="仿宋" w:cs="仿宋"/>
                <w:bCs/>
                <w:kern w:val="2"/>
                <w:sz w:val="24"/>
                <w:szCs w:val="24"/>
                <w:highlight w:val="none"/>
                <w:lang w:eastAsia="zh-CN"/>
              </w:rPr>
              <w:t>（</w:t>
            </w:r>
            <w:r>
              <w:rPr>
                <w:rFonts w:hint="default" w:ascii="仿宋" w:hAnsi="仿宋" w:eastAsia="仿宋" w:cs="宋体"/>
                <w:kern w:val="0"/>
                <w:sz w:val="24"/>
                <w:szCs w:val="24"/>
                <w:highlight w:val="none"/>
                <w:lang w:val="en-US" w:eastAsia="zh-CN" w:bidi="ar-SA"/>
              </w:rPr>
              <w:t>不含提交响应文件截止时间的当月</w:t>
            </w:r>
            <w:r>
              <w:rPr>
                <w:rFonts w:hint="eastAsia" w:ascii="仿宋" w:hAnsi="仿宋" w:eastAsia="仿宋" w:cs="仿宋"/>
                <w:bCs/>
                <w:kern w:val="2"/>
                <w:sz w:val="24"/>
                <w:szCs w:val="24"/>
                <w:highlight w:val="none"/>
              </w:rPr>
              <w:t>）</w:t>
            </w:r>
            <w:r>
              <w:rPr>
                <w:rFonts w:hint="eastAsia" w:ascii="仿宋" w:hAnsi="仿宋" w:eastAsia="仿宋" w:cs="仿宋"/>
                <w:bCs/>
                <w:kern w:val="2"/>
                <w:sz w:val="24"/>
                <w:szCs w:val="24"/>
                <w:highlight w:val="none"/>
                <w:lang w:eastAsia="zh-CN"/>
              </w:rPr>
              <w:t>任意一个月供应商为其</w:t>
            </w:r>
            <w:r>
              <w:rPr>
                <w:rFonts w:hint="eastAsia" w:ascii="仿宋" w:hAnsi="仿宋" w:eastAsia="仿宋" w:cs="仿宋"/>
                <w:bCs/>
                <w:kern w:val="2"/>
                <w:sz w:val="24"/>
                <w:szCs w:val="24"/>
                <w:highlight w:val="none"/>
              </w:rPr>
              <w:t>缴交社保的证明材料</w:t>
            </w:r>
            <w:r>
              <w:rPr>
                <w:rFonts w:hint="eastAsia" w:ascii="仿宋" w:hAnsi="仿宋" w:eastAsia="仿宋" w:cs="仿宋"/>
                <w:bCs/>
                <w:kern w:val="2"/>
                <w:sz w:val="24"/>
                <w:szCs w:val="24"/>
                <w:highlight w:val="none"/>
                <w:lang w:val="en-US" w:eastAsia="zh-CN"/>
              </w:rPr>
              <w:t>扫描件</w:t>
            </w:r>
            <w:r>
              <w:rPr>
                <w:rFonts w:hint="eastAsia" w:ascii="仿宋" w:hAnsi="仿宋" w:eastAsia="仿宋" w:cs="仿宋"/>
                <w:bCs/>
                <w:kern w:val="2"/>
                <w:sz w:val="24"/>
                <w:szCs w:val="24"/>
                <w:highlight w:val="none"/>
              </w:rPr>
              <w:t>，否则不得分。</w:t>
            </w:r>
          </w:p>
        </w:tc>
      </w:tr>
      <w:tr w14:paraId="568050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shd w:val="clear" w:color="auto" w:fill="auto"/>
            <w:vAlign w:val="center"/>
          </w:tcPr>
          <w:p w14:paraId="402A51A0">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1-5</w:t>
            </w:r>
          </w:p>
        </w:tc>
        <w:tc>
          <w:tcPr>
            <w:tcW w:w="834" w:type="dxa"/>
            <w:vAlign w:val="center"/>
          </w:tcPr>
          <w:p w14:paraId="0F4CD527">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w:t>
            </w:r>
          </w:p>
        </w:tc>
        <w:tc>
          <w:tcPr>
            <w:tcW w:w="7932" w:type="dxa"/>
          </w:tcPr>
          <w:p w14:paraId="3FF14473">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kern w:val="2"/>
                <w:sz w:val="24"/>
                <w:szCs w:val="24"/>
                <w:highlight w:val="none"/>
              </w:rPr>
            </w:pPr>
            <w:r>
              <w:rPr>
                <w:rFonts w:hint="eastAsia" w:ascii="仿宋" w:hAnsi="仿宋" w:eastAsia="仿宋" w:cs="仿宋"/>
                <w:bCs/>
                <w:kern w:val="2"/>
                <w:sz w:val="24"/>
                <w:szCs w:val="24"/>
                <w:highlight w:val="none"/>
                <w:lang w:eastAsia="zh-CN"/>
              </w:rPr>
              <w:t>根据</w:t>
            </w:r>
            <w:r>
              <w:rPr>
                <w:rFonts w:hint="eastAsia" w:ascii="仿宋" w:hAnsi="仿宋" w:eastAsia="仿宋" w:cs="仿宋"/>
                <w:b w:val="0"/>
                <w:bCs w:val="0"/>
                <w:kern w:val="2"/>
                <w:sz w:val="24"/>
                <w:szCs w:val="24"/>
                <w:highlight w:val="none"/>
              </w:rPr>
              <w:t>供应商</w:t>
            </w:r>
            <w:r>
              <w:rPr>
                <w:rFonts w:hint="eastAsia" w:ascii="仿宋" w:hAnsi="仿宋" w:eastAsia="仿宋" w:cs="仿宋"/>
                <w:bCs/>
                <w:kern w:val="2"/>
                <w:sz w:val="24"/>
                <w:szCs w:val="24"/>
                <w:highlight w:val="none"/>
                <w:lang w:eastAsia="zh-CN"/>
              </w:rPr>
              <w:t>拟为本项目配备的</w:t>
            </w:r>
            <w:r>
              <w:rPr>
                <w:rFonts w:hint="eastAsia" w:ascii="仿宋" w:hAnsi="仿宋" w:eastAsia="仿宋" w:cs="仿宋"/>
                <w:b/>
                <w:bCs w:val="0"/>
                <w:kern w:val="2"/>
                <w:sz w:val="24"/>
                <w:szCs w:val="24"/>
                <w:highlight w:val="none"/>
                <w:lang w:eastAsia="zh-CN"/>
              </w:rPr>
              <w:t>其他施工现场管理人员</w:t>
            </w:r>
            <w:r>
              <w:rPr>
                <w:rFonts w:hint="eastAsia" w:ascii="仿宋" w:hAnsi="仿宋" w:eastAsia="仿宋" w:cs="仿宋"/>
                <w:b/>
                <w:bCs/>
                <w:kern w:val="2"/>
                <w:sz w:val="24"/>
                <w:szCs w:val="24"/>
                <w:highlight w:val="none"/>
                <w:lang w:eastAsia="zh-CN"/>
              </w:rPr>
              <w:t>（</w:t>
            </w:r>
            <w:r>
              <w:rPr>
                <w:rFonts w:hint="eastAsia" w:ascii="仿宋" w:hAnsi="仿宋" w:eastAsia="仿宋" w:cs="仿宋"/>
                <w:b/>
                <w:bCs w:val="0"/>
                <w:iCs/>
                <w:kern w:val="2"/>
                <w:sz w:val="24"/>
                <w:szCs w:val="24"/>
                <w:highlight w:val="none"/>
                <w:lang w:val="en-US" w:eastAsia="zh-CN" w:bidi="ar-SA"/>
              </w:rPr>
              <w:t>安全员</w:t>
            </w:r>
            <w:r>
              <w:rPr>
                <w:rFonts w:hint="eastAsia" w:ascii="仿宋" w:hAnsi="仿宋" w:eastAsia="仿宋" w:cs="仿宋"/>
                <w:b/>
                <w:bCs/>
                <w:kern w:val="2"/>
                <w:sz w:val="24"/>
                <w:szCs w:val="24"/>
                <w:highlight w:val="none"/>
                <w:lang w:val="en-US" w:eastAsia="zh-CN"/>
              </w:rPr>
              <w:t>除外</w:t>
            </w:r>
            <w:r>
              <w:rPr>
                <w:rFonts w:hint="eastAsia" w:ascii="仿宋" w:hAnsi="仿宋" w:eastAsia="仿宋" w:cs="仿宋"/>
                <w:b/>
                <w:bCs/>
                <w:kern w:val="2"/>
                <w:sz w:val="24"/>
                <w:szCs w:val="24"/>
                <w:highlight w:val="none"/>
                <w:lang w:eastAsia="zh-CN"/>
              </w:rPr>
              <w:t>）</w:t>
            </w:r>
            <w:r>
              <w:rPr>
                <w:rFonts w:hint="eastAsia" w:ascii="仿宋" w:hAnsi="仿宋" w:eastAsia="仿宋" w:cs="仿宋"/>
                <w:b w:val="0"/>
                <w:bCs/>
                <w:kern w:val="2"/>
                <w:sz w:val="24"/>
                <w:szCs w:val="24"/>
                <w:highlight w:val="none"/>
                <w:lang w:val="en-US" w:eastAsia="zh-CN"/>
              </w:rPr>
              <w:t>进行评价</w:t>
            </w:r>
            <w:r>
              <w:rPr>
                <w:rFonts w:hint="eastAsia" w:ascii="仿宋" w:hAnsi="仿宋" w:eastAsia="仿宋" w:cs="仿宋"/>
                <w:b w:val="0"/>
                <w:bCs/>
                <w:kern w:val="2"/>
                <w:sz w:val="24"/>
                <w:szCs w:val="24"/>
                <w:highlight w:val="none"/>
              </w:rPr>
              <w:t>：</w:t>
            </w:r>
          </w:p>
          <w:p w14:paraId="08D6D8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Cs/>
                <w:iCs/>
                <w:sz w:val="24"/>
                <w:highlight w:val="none"/>
              </w:rPr>
            </w:pPr>
            <w:r>
              <w:rPr>
                <w:rFonts w:hint="eastAsia" w:ascii="仿宋" w:hAnsi="仿宋" w:eastAsia="仿宋" w:cs="仿宋"/>
                <w:bCs/>
                <w:iCs/>
                <w:sz w:val="24"/>
                <w:highlight w:val="none"/>
              </w:rPr>
              <w:t>施工员：1人；岗位证书：设备安装施工员。</w:t>
            </w:r>
          </w:p>
          <w:p w14:paraId="0F31E6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Cs/>
                <w:iCs/>
                <w:sz w:val="24"/>
                <w:highlight w:val="none"/>
              </w:rPr>
            </w:pPr>
            <w:r>
              <w:rPr>
                <w:rFonts w:hint="eastAsia" w:ascii="仿宋" w:hAnsi="仿宋" w:eastAsia="仿宋" w:cs="仿宋"/>
                <w:bCs/>
                <w:iCs/>
                <w:sz w:val="24"/>
                <w:highlight w:val="none"/>
              </w:rPr>
              <w:t>质量员：1人；岗位证书：质量员。</w:t>
            </w:r>
          </w:p>
          <w:p w14:paraId="2F1665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Cs/>
                <w:iCs/>
                <w:sz w:val="24"/>
                <w:highlight w:val="none"/>
              </w:rPr>
            </w:pPr>
            <w:r>
              <w:rPr>
                <w:rFonts w:hint="eastAsia" w:ascii="仿宋" w:hAnsi="仿宋" w:eastAsia="仿宋" w:cs="仿宋"/>
                <w:bCs/>
                <w:iCs/>
                <w:sz w:val="24"/>
                <w:highlight w:val="none"/>
              </w:rPr>
              <w:t>材料员：1人；岗位证书：材料</w:t>
            </w:r>
            <w:r>
              <w:rPr>
                <w:rFonts w:hint="eastAsia" w:ascii="仿宋" w:hAnsi="仿宋" w:eastAsia="仿宋" w:cs="仿宋"/>
                <w:bCs/>
                <w:iCs/>
                <w:sz w:val="24"/>
                <w:highlight w:val="none"/>
                <w:lang w:val="en-US" w:eastAsia="zh-CN"/>
              </w:rPr>
              <w:t>员</w:t>
            </w:r>
            <w:r>
              <w:rPr>
                <w:rFonts w:hint="eastAsia" w:ascii="仿宋" w:hAnsi="仿宋" w:eastAsia="仿宋" w:cs="仿宋"/>
                <w:bCs/>
                <w:iCs/>
                <w:sz w:val="24"/>
                <w:highlight w:val="none"/>
              </w:rPr>
              <w:t>。</w:t>
            </w:r>
          </w:p>
          <w:p w14:paraId="42BBA1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Cs/>
                <w:iCs/>
                <w:sz w:val="24"/>
                <w:highlight w:val="none"/>
              </w:rPr>
            </w:pPr>
            <w:r>
              <w:rPr>
                <w:rFonts w:hint="eastAsia" w:ascii="仿宋" w:hAnsi="仿宋" w:eastAsia="仿宋" w:cs="仿宋"/>
                <w:bCs/>
                <w:iCs/>
                <w:sz w:val="24"/>
                <w:highlight w:val="none"/>
              </w:rPr>
              <w:t>资料员：1人；岗位证书：资料</w:t>
            </w:r>
            <w:r>
              <w:rPr>
                <w:rFonts w:hint="eastAsia" w:ascii="仿宋" w:hAnsi="仿宋" w:eastAsia="仿宋" w:cs="仿宋"/>
                <w:bCs/>
                <w:iCs/>
                <w:sz w:val="24"/>
                <w:highlight w:val="none"/>
                <w:lang w:val="en-US" w:eastAsia="zh-CN"/>
              </w:rPr>
              <w:t>员</w:t>
            </w:r>
            <w:r>
              <w:rPr>
                <w:rFonts w:hint="eastAsia" w:ascii="仿宋" w:hAnsi="仿宋" w:eastAsia="仿宋" w:cs="仿宋"/>
                <w:bCs/>
                <w:iCs/>
                <w:sz w:val="24"/>
                <w:highlight w:val="none"/>
              </w:rPr>
              <w:t>。</w:t>
            </w:r>
          </w:p>
          <w:p w14:paraId="50314512">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val="0"/>
                <w:bCs w:val="0"/>
                <w:kern w:val="2"/>
                <w:sz w:val="24"/>
                <w:szCs w:val="24"/>
                <w:highlight w:val="none"/>
              </w:rPr>
            </w:pPr>
            <w:r>
              <w:rPr>
                <w:rFonts w:hint="eastAsia" w:ascii="仿宋" w:hAnsi="仿宋" w:eastAsia="仿宋" w:cs="仿宋"/>
                <w:b w:val="0"/>
                <w:bCs w:val="0"/>
                <w:kern w:val="2"/>
                <w:sz w:val="24"/>
                <w:szCs w:val="24"/>
                <w:highlight w:val="none"/>
              </w:rPr>
              <w:t>每配备一名得0.5分，</w:t>
            </w:r>
            <w:r>
              <w:rPr>
                <w:rFonts w:hint="eastAsia" w:ascii="仿宋" w:hAnsi="仿宋" w:eastAsia="仿宋" w:cs="仿宋"/>
                <w:b w:val="0"/>
                <w:bCs w:val="0"/>
                <w:kern w:val="2"/>
                <w:sz w:val="24"/>
                <w:szCs w:val="24"/>
                <w:highlight w:val="none"/>
                <w:lang w:val="en-US" w:eastAsia="zh-CN"/>
              </w:rPr>
              <w:t>本项</w:t>
            </w:r>
            <w:r>
              <w:rPr>
                <w:rFonts w:hint="eastAsia" w:ascii="仿宋" w:hAnsi="仿宋" w:eastAsia="仿宋" w:cs="仿宋"/>
                <w:b w:val="0"/>
                <w:bCs w:val="0"/>
                <w:kern w:val="2"/>
                <w:sz w:val="24"/>
                <w:szCs w:val="24"/>
                <w:highlight w:val="none"/>
              </w:rPr>
              <w:t>满分</w:t>
            </w:r>
            <w:r>
              <w:rPr>
                <w:rFonts w:hint="eastAsia" w:ascii="仿宋" w:hAnsi="仿宋" w:eastAsia="仿宋" w:cs="仿宋"/>
                <w:b w:val="0"/>
                <w:bCs w:val="0"/>
                <w:kern w:val="2"/>
                <w:sz w:val="24"/>
                <w:szCs w:val="24"/>
                <w:highlight w:val="none"/>
                <w:lang w:val="en-US" w:eastAsia="zh-CN"/>
              </w:rPr>
              <w:t>2</w:t>
            </w:r>
            <w:r>
              <w:rPr>
                <w:rFonts w:hint="eastAsia" w:ascii="仿宋" w:hAnsi="仿宋" w:eastAsia="仿宋" w:cs="仿宋"/>
                <w:b w:val="0"/>
                <w:bCs w:val="0"/>
                <w:kern w:val="2"/>
                <w:sz w:val="24"/>
                <w:szCs w:val="24"/>
                <w:highlight w:val="none"/>
              </w:rPr>
              <w:t xml:space="preserve"> 分。</w:t>
            </w:r>
          </w:p>
          <w:p w14:paraId="20D6FC43">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Cs/>
                <w:kern w:val="2"/>
                <w:sz w:val="24"/>
                <w:szCs w:val="24"/>
                <w:highlight w:val="none"/>
              </w:rPr>
            </w:pPr>
            <w:r>
              <w:rPr>
                <w:rFonts w:hint="eastAsia" w:ascii="仿宋" w:hAnsi="仿宋" w:eastAsia="仿宋" w:cs="仿宋"/>
                <w:b w:val="0"/>
                <w:bCs/>
                <w:kern w:val="2"/>
                <w:sz w:val="24"/>
                <w:szCs w:val="24"/>
                <w:highlight w:val="none"/>
                <w:lang w:val="en-US" w:eastAsia="zh-CN"/>
              </w:rPr>
              <w:t>注：岗位证书是指</w:t>
            </w:r>
            <w:r>
              <w:rPr>
                <w:rFonts w:hint="eastAsia" w:ascii="仿宋" w:hAnsi="仿宋" w:eastAsia="仿宋" w:cs="仿宋"/>
                <w:bCs/>
                <w:iCs/>
                <w:sz w:val="24"/>
                <w:highlight w:val="none"/>
              </w:rPr>
              <w:t>住房和城乡建设领域施工现场专业人员职业培训合格证书</w:t>
            </w:r>
            <w:r>
              <w:rPr>
                <w:rFonts w:hint="eastAsia" w:ascii="仿宋" w:hAnsi="仿宋" w:eastAsia="仿宋" w:cs="仿宋"/>
                <w:b w:val="0"/>
                <w:bCs/>
                <w:kern w:val="2"/>
                <w:sz w:val="24"/>
                <w:szCs w:val="24"/>
                <w:highlight w:val="none"/>
                <w:lang w:val="en-US" w:eastAsia="zh-CN"/>
              </w:rPr>
              <w:t>，并以合格证注明的岗位名称为准。供应商</w:t>
            </w:r>
            <w:r>
              <w:rPr>
                <w:rFonts w:hint="eastAsia" w:ascii="仿宋" w:hAnsi="仿宋" w:eastAsia="仿宋" w:cs="仿宋"/>
                <w:b w:val="0"/>
                <w:bCs/>
                <w:kern w:val="2"/>
                <w:sz w:val="24"/>
                <w:szCs w:val="24"/>
                <w:highlight w:val="none"/>
              </w:rPr>
              <w:t>须</w:t>
            </w:r>
            <w:r>
              <w:rPr>
                <w:rFonts w:hint="eastAsia" w:ascii="仿宋" w:hAnsi="仿宋" w:eastAsia="仿宋" w:cs="仿宋"/>
                <w:b w:val="0"/>
                <w:bCs/>
                <w:kern w:val="2"/>
                <w:sz w:val="24"/>
                <w:szCs w:val="24"/>
                <w:highlight w:val="none"/>
                <w:lang w:val="en-US" w:eastAsia="zh-CN"/>
              </w:rPr>
              <w:t>同时</w:t>
            </w:r>
            <w:r>
              <w:rPr>
                <w:rFonts w:hint="eastAsia" w:ascii="仿宋" w:hAnsi="仿宋" w:eastAsia="仿宋" w:cs="仿宋"/>
                <w:b w:val="0"/>
                <w:bCs/>
                <w:kern w:val="2"/>
                <w:sz w:val="24"/>
                <w:szCs w:val="24"/>
                <w:highlight w:val="none"/>
              </w:rPr>
              <w:t>提供上述人员的证书</w:t>
            </w:r>
            <w:r>
              <w:rPr>
                <w:rFonts w:hint="eastAsia" w:ascii="仿宋" w:hAnsi="仿宋" w:eastAsia="仿宋" w:cs="仿宋"/>
                <w:b w:val="0"/>
                <w:bCs/>
                <w:kern w:val="2"/>
                <w:sz w:val="24"/>
                <w:szCs w:val="24"/>
                <w:highlight w:val="none"/>
                <w:lang w:val="en-US" w:eastAsia="zh-CN"/>
              </w:rPr>
              <w:t>扫描件以及</w:t>
            </w:r>
            <w:r>
              <w:rPr>
                <w:rFonts w:hint="eastAsia" w:ascii="仿宋" w:hAnsi="仿宋" w:eastAsia="仿宋" w:cs="仿宋"/>
                <w:b w:val="0"/>
                <w:bCs/>
                <w:kern w:val="2"/>
                <w:sz w:val="24"/>
                <w:szCs w:val="24"/>
                <w:highlight w:val="none"/>
              </w:rPr>
              <w:t>近6个月内</w:t>
            </w:r>
            <w:r>
              <w:rPr>
                <w:rFonts w:hint="eastAsia" w:ascii="仿宋" w:hAnsi="仿宋" w:eastAsia="仿宋" w:cs="仿宋"/>
                <w:b w:val="0"/>
                <w:bCs/>
                <w:kern w:val="2"/>
                <w:sz w:val="24"/>
                <w:szCs w:val="24"/>
                <w:highlight w:val="none"/>
                <w:lang w:eastAsia="zh-CN"/>
              </w:rPr>
              <w:t>（</w:t>
            </w:r>
            <w:r>
              <w:rPr>
                <w:rFonts w:hint="default" w:ascii="仿宋" w:hAnsi="仿宋" w:eastAsia="仿宋" w:cs="宋体"/>
                <w:kern w:val="0"/>
                <w:sz w:val="24"/>
                <w:szCs w:val="24"/>
                <w:highlight w:val="none"/>
                <w:lang w:val="en-US" w:eastAsia="zh-CN" w:bidi="ar-SA"/>
              </w:rPr>
              <w:t>不含提交响应文件截止时间的当月</w:t>
            </w:r>
            <w:r>
              <w:rPr>
                <w:rFonts w:hint="eastAsia" w:ascii="仿宋" w:hAnsi="仿宋" w:eastAsia="仿宋" w:cs="仿宋"/>
                <w:b w:val="0"/>
                <w:bCs/>
                <w:kern w:val="2"/>
                <w:sz w:val="24"/>
                <w:szCs w:val="24"/>
                <w:highlight w:val="none"/>
              </w:rPr>
              <w:t>）</w:t>
            </w:r>
            <w:r>
              <w:rPr>
                <w:rFonts w:hint="eastAsia" w:ascii="仿宋" w:hAnsi="仿宋" w:eastAsia="仿宋" w:cs="仿宋"/>
                <w:b w:val="0"/>
                <w:bCs/>
                <w:kern w:val="2"/>
                <w:sz w:val="24"/>
                <w:szCs w:val="24"/>
                <w:highlight w:val="none"/>
                <w:lang w:eastAsia="zh-CN"/>
              </w:rPr>
              <w:t>任意一个月</w:t>
            </w:r>
            <w:r>
              <w:rPr>
                <w:rFonts w:hint="eastAsia" w:ascii="仿宋" w:hAnsi="仿宋" w:eastAsia="仿宋" w:cs="仿宋"/>
                <w:b w:val="0"/>
                <w:bCs/>
                <w:kern w:val="2"/>
                <w:sz w:val="24"/>
                <w:szCs w:val="24"/>
                <w:highlight w:val="none"/>
                <w:lang w:val="en-US" w:eastAsia="zh-CN"/>
              </w:rPr>
              <w:t>供应商为其</w:t>
            </w:r>
            <w:r>
              <w:rPr>
                <w:rFonts w:hint="eastAsia" w:ascii="仿宋" w:hAnsi="仿宋" w:eastAsia="仿宋" w:cs="仿宋"/>
                <w:b w:val="0"/>
                <w:bCs/>
                <w:kern w:val="2"/>
                <w:sz w:val="24"/>
                <w:szCs w:val="24"/>
                <w:highlight w:val="none"/>
              </w:rPr>
              <w:t>缴交社保的证明材料</w:t>
            </w:r>
            <w:r>
              <w:rPr>
                <w:rFonts w:hint="eastAsia" w:ascii="仿宋" w:hAnsi="仿宋" w:eastAsia="仿宋" w:cs="仿宋"/>
                <w:b w:val="0"/>
                <w:bCs/>
                <w:kern w:val="2"/>
                <w:sz w:val="24"/>
                <w:szCs w:val="24"/>
                <w:highlight w:val="none"/>
                <w:lang w:val="en-US" w:eastAsia="zh-CN"/>
              </w:rPr>
              <w:t>扫描件</w:t>
            </w:r>
            <w:r>
              <w:rPr>
                <w:rFonts w:hint="eastAsia" w:ascii="仿宋" w:hAnsi="仿宋" w:eastAsia="仿宋" w:cs="仿宋"/>
                <w:b w:val="0"/>
                <w:bCs/>
                <w:kern w:val="2"/>
                <w:sz w:val="24"/>
                <w:szCs w:val="24"/>
                <w:highlight w:val="none"/>
              </w:rPr>
              <w:t>，否则不得分。</w:t>
            </w:r>
          </w:p>
        </w:tc>
      </w:tr>
      <w:tr w14:paraId="61B1D5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shd w:val="clear" w:color="auto" w:fill="auto"/>
            <w:vAlign w:val="center"/>
          </w:tcPr>
          <w:p w14:paraId="718CAA52">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1-6</w:t>
            </w:r>
          </w:p>
        </w:tc>
        <w:tc>
          <w:tcPr>
            <w:tcW w:w="834" w:type="dxa"/>
            <w:vAlign w:val="center"/>
          </w:tcPr>
          <w:p w14:paraId="74A4754C">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c>
          <w:tcPr>
            <w:tcW w:w="7932" w:type="dxa"/>
          </w:tcPr>
          <w:p w14:paraId="2CAF12FC">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根据供应商提供的</w:t>
            </w:r>
            <w:r>
              <w:rPr>
                <w:rFonts w:hint="eastAsia" w:ascii="仿宋" w:hAnsi="仿宋" w:eastAsia="仿宋" w:cs="仿宋"/>
                <w:b/>
                <w:bCs w:val="0"/>
                <w:kern w:val="2"/>
                <w:sz w:val="24"/>
                <w:szCs w:val="24"/>
                <w:highlight w:val="none"/>
                <w:lang w:val="en-US" w:eastAsia="zh-CN"/>
              </w:rPr>
              <w:t>施工进度保障方案</w:t>
            </w:r>
            <w:r>
              <w:rPr>
                <w:rFonts w:hint="eastAsia" w:ascii="仿宋" w:hAnsi="仿宋" w:eastAsia="仿宋" w:cs="仿宋"/>
                <w:b w:val="0"/>
                <w:bCs/>
                <w:kern w:val="2"/>
                <w:sz w:val="24"/>
                <w:szCs w:val="24"/>
                <w:highlight w:val="none"/>
                <w:lang w:val="en-US" w:eastAsia="zh-CN"/>
              </w:rPr>
              <w:t>进行评价：</w:t>
            </w:r>
          </w:p>
          <w:p w14:paraId="4564BFDE">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①提供施工进度计划（横道图/网络图），贴合“</w:t>
            </w:r>
            <w:r>
              <w:rPr>
                <w:rFonts w:hint="eastAsia" w:ascii="仿宋" w:hAnsi="仿宋" w:eastAsia="仿宋" w:cs="宋体"/>
                <w:kern w:val="0"/>
                <w:sz w:val="24"/>
                <w:szCs w:val="24"/>
                <w:highlight w:val="none"/>
              </w:rPr>
              <w:t>45个日历日内完成</w:t>
            </w:r>
            <w:r>
              <w:rPr>
                <w:rFonts w:hint="eastAsia" w:ascii="仿宋" w:hAnsi="仿宋" w:eastAsia="仿宋" w:cs="宋体"/>
                <w:kern w:val="0"/>
                <w:sz w:val="24"/>
                <w:szCs w:val="24"/>
                <w:highlight w:val="none"/>
                <w:lang w:val="en-US" w:eastAsia="zh-CN"/>
              </w:rPr>
              <w:t>施工、验收合格交付使用</w:t>
            </w:r>
            <w:r>
              <w:rPr>
                <w:rFonts w:hint="eastAsia" w:ascii="仿宋" w:hAnsi="仿宋" w:eastAsia="仿宋" w:cs="仿宋"/>
                <w:b w:val="0"/>
                <w:bCs/>
                <w:kern w:val="2"/>
                <w:sz w:val="24"/>
                <w:szCs w:val="24"/>
                <w:highlight w:val="none"/>
                <w:lang w:val="en-US" w:eastAsia="zh-CN"/>
              </w:rPr>
              <w:t>”要求的得2分；</w:t>
            </w:r>
          </w:p>
          <w:p w14:paraId="03B4E4AE">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②在满足①的基础上，包含关键节点管控措施（如旧管网拆除、新管道敷设、水泵与变频设备安装、水箱内衬改造、消毒系统安装、系统试压冲洗、水质检测等节点进度保障）的得5分；</w:t>
            </w:r>
          </w:p>
          <w:p w14:paraId="087EB0ED">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③未提供或不满足以上要求的不得分。</w:t>
            </w:r>
          </w:p>
        </w:tc>
      </w:tr>
      <w:tr w14:paraId="568440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shd w:val="clear" w:color="auto" w:fill="auto"/>
            <w:vAlign w:val="center"/>
          </w:tcPr>
          <w:p w14:paraId="60BCC237">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1-7</w:t>
            </w:r>
          </w:p>
        </w:tc>
        <w:tc>
          <w:tcPr>
            <w:tcW w:w="834" w:type="dxa"/>
            <w:vAlign w:val="center"/>
          </w:tcPr>
          <w:p w14:paraId="258E4B5E">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c>
          <w:tcPr>
            <w:tcW w:w="7932" w:type="dxa"/>
          </w:tcPr>
          <w:p w14:paraId="2FCDF9E5">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根据供应商提供的</w:t>
            </w:r>
            <w:r>
              <w:rPr>
                <w:rFonts w:hint="eastAsia" w:ascii="仿宋" w:hAnsi="仿宋" w:eastAsia="仿宋" w:cs="仿宋"/>
                <w:b/>
                <w:bCs w:val="0"/>
                <w:kern w:val="2"/>
                <w:sz w:val="24"/>
                <w:szCs w:val="24"/>
                <w:highlight w:val="none"/>
                <w:lang w:val="en-US" w:eastAsia="zh-CN"/>
              </w:rPr>
              <w:t>应急方案</w:t>
            </w:r>
            <w:r>
              <w:rPr>
                <w:rFonts w:hint="eastAsia" w:ascii="仿宋" w:hAnsi="仿宋" w:eastAsia="仿宋" w:cs="仿宋"/>
                <w:b w:val="0"/>
                <w:bCs/>
                <w:kern w:val="2"/>
                <w:sz w:val="24"/>
                <w:szCs w:val="24"/>
                <w:highlight w:val="none"/>
                <w:lang w:val="en-US" w:eastAsia="zh-CN"/>
              </w:rPr>
              <w:t>进行评价：</w:t>
            </w:r>
          </w:p>
          <w:p w14:paraId="09DB7969">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①提供完整应急方案，包含人员工伤、设备故障、台风/雨季施工、突发停水停电、有限空间作业、涉水施工安全等基础突发事件处置流程、校园施工专属应急措施（如噪音扰民投诉应对、教学设施防护与破损处置、学生误入施工区域管控、供水中断应急保障）的得 2 分；</w:t>
            </w:r>
          </w:p>
          <w:p w14:paraId="538C7176">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②在满足①的基础上，设计接驳停水应急预案（如水箱改造、管网接驳、设备调试协作保障）、工期延误应对措施（如双班组错峰作业、关键材料提前备货、夜间 / 周末施工效率提升），并明确应急物资配置、应急人员分工、应急响应时间、临时供水保障措施的得5分；</w:t>
            </w:r>
          </w:p>
          <w:p w14:paraId="2643EB2C">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③未提供或不满足以上要求的不得分。</w:t>
            </w:r>
          </w:p>
        </w:tc>
      </w:tr>
      <w:tr w14:paraId="4D8FF23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shd w:val="clear" w:color="auto" w:fill="auto"/>
            <w:vAlign w:val="center"/>
          </w:tcPr>
          <w:p w14:paraId="79D08423">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1-8</w:t>
            </w:r>
          </w:p>
        </w:tc>
        <w:tc>
          <w:tcPr>
            <w:tcW w:w="834" w:type="dxa"/>
            <w:vAlign w:val="center"/>
          </w:tcPr>
          <w:p w14:paraId="428BE6B7">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c>
          <w:tcPr>
            <w:tcW w:w="7932" w:type="dxa"/>
          </w:tcPr>
          <w:p w14:paraId="671DF121">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根据供应商提供的</w:t>
            </w:r>
            <w:r>
              <w:rPr>
                <w:rFonts w:hint="eastAsia" w:ascii="仿宋" w:hAnsi="仿宋" w:eastAsia="仿宋" w:cs="仿宋"/>
                <w:b/>
                <w:bCs w:val="0"/>
                <w:kern w:val="2"/>
                <w:sz w:val="24"/>
                <w:szCs w:val="24"/>
                <w:highlight w:val="none"/>
                <w:lang w:val="en-US" w:eastAsia="zh-CN"/>
              </w:rPr>
              <w:t>材料及劳动力保障</w:t>
            </w:r>
            <w:r>
              <w:rPr>
                <w:rFonts w:hint="eastAsia" w:ascii="仿宋" w:hAnsi="仿宋" w:eastAsia="仿宋" w:cs="仿宋"/>
                <w:b w:val="0"/>
                <w:bCs/>
                <w:kern w:val="2"/>
                <w:sz w:val="24"/>
                <w:szCs w:val="24"/>
                <w:highlight w:val="none"/>
                <w:lang w:val="en-US" w:eastAsia="zh-CN"/>
              </w:rPr>
              <w:t>进行评价：</w:t>
            </w:r>
          </w:p>
          <w:p w14:paraId="0BEAB943">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①材料进场及质量保障，提供主要材料进场计划（匹配施工进度），且明确材料送样确认、进场报验、卫生许可批件核查、检测验收流程的得2分；</w:t>
            </w:r>
          </w:p>
          <w:p w14:paraId="6D1A667E">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②在满足①的基础上，承诺核心主材（PVC-U 给水管、立式多级离心泵、恒压变频控制柜、水箱内衬防渗材料、消毒设备）选用磋商文件推荐品牌或同档次以上品牌，明确选材标准且提供质量保证措施、劳动力配置计划、人员持证上岗保障、施工人力保障的得5分；</w:t>
            </w:r>
          </w:p>
          <w:p w14:paraId="53CCF575">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③未提供或不满足以上要求的不得分。</w:t>
            </w:r>
          </w:p>
        </w:tc>
      </w:tr>
      <w:tr w14:paraId="69E4C1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shd w:val="clear" w:color="auto" w:fill="auto"/>
            <w:vAlign w:val="center"/>
          </w:tcPr>
          <w:p w14:paraId="078DA9F9">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1-9</w:t>
            </w:r>
          </w:p>
        </w:tc>
        <w:tc>
          <w:tcPr>
            <w:tcW w:w="834" w:type="dxa"/>
            <w:vAlign w:val="center"/>
          </w:tcPr>
          <w:p w14:paraId="2F145229">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c>
          <w:tcPr>
            <w:tcW w:w="7932" w:type="dxa"/>
          </w:tcPr>
          <w:p w14:paraId="2B731754">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根据供应商提供的</w:t>
            </w:r>
            <w:r>
              <w:rPr>
                <w:rFonts w:hint="eastAsia" w:ascii="仿宋" w:hAnsi="仿宋" w:eastAsia="仿宋" w:cs="仿宋"/>
                <w:b/>
                <w:bCs w:val="0"/>
                <w:kern w:val="2"/>
                <w:sz w:val="24"/>
                <w:szCs w:val="24"/>
                <w:highlight w:val="none"/>
                <w:lang w:val="en-US" w:eastAsia="zh-CN"/>
              </w:rPr>
              <w:t>安全及文明施工措施</w:t>
            </w:r>
            <w:r>
              <w:rPr>
                <w:rFonts w:hint="eastAsia" w:ascii="仿宋" w:hAnsi="仿宋" w:eastAsia="仿宋" w:cs="仿宋"/>
                <w:b w:val="0"/>
                <w:bCs/>
                <w:kern w:val="2"/>
                <w:sz w:val="24"/>
                <w:szCs w:val="24"/>
                <w:highlight w:val="none"/>
                <w:lang w:val="en-US" w:eastAsia="zh-CN"/>
              </w:rPr>
              <w:t>进行评价：</w:t>
            </w:r>
          </w:p>
          <w:p w14:paraId="68B11FBD">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①制定符合国家及厦门地方规定的安全施工+文明施工基本措施（如有限空间作业防护、涉水施工安全、临电安全、施工围挡封闭、扬尘与噪音控制）、制定安全文明施工考核及奖惩机制、施工人员校园管理培训要求的得2分；</w:t>
            </w:r>
          </w:p>
          <w:p w14:paraId="0E00184E">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②在满足①的基础上，结合校园场景制定专属措施（如施工区域与学生活动区域全封闭物理隔离、静音施工、水箱及管网防污染防护、施工垃圾日产日清、非施工时段场地清零管理）的得5分；</w:t>
            </w:r>
          </w:p>
          <w:p w14:paraId="3C17906A">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③未提供或不满足以上要求的不得分。</w:t>
            </w:r>
          </w:p>
        </w:tc>
      </w:tr>
      <w:tr w14:paraId="7C1D39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shd w:val="clear" w:color="auto" w:fill="auto"/>
            <w:vAlign w:val="center"/>
          </w:tcPr>
          <w:p w14:paraId="2835E007">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1-10</w:t>
            </w:r>
          </w:p>
        </w:tc>
        <w:tc>
          <w:tcPr>
            <w:tcW w:w="834" w:type="dxa"/>
            <w:vAlign w:val="center"/>
          </w:tcPr>
          <w:p w14:paraId="7E0156AE">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c>
          <w:tcPr>
            <w:tcW w:w="7932" w:type="dxa"/>
          </w:tcPr>
          <w:p w14:paraId="60613BC6">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根据供应商提供的</w:t>
            </w:r>
            <w:r>
              <w:rPr>
                <w:rFonts w:hint="eastAsia" w:ascii="仿宋" w:hAnsi="仿宋" w:eastAsia="仿宋" w:cs="仿宋"/>
                <w:b/>
                <w:bCs w:val="0"/>
                <w:kern w:val="2"/>
                <w:sz w:val="24"/>
                <w:szCs w:val="24"/>
                <w:highlight w:val="none"/>
                <w:lang w:val="en-US" w:eastAsia="zh-CN"/>
              </w:rPr>
              <w:t>主要施工机具与设备配置方案</w:t>
            </w:r>
            <w:r>
              <w:rPr>
                <w:rFonts w:hint="eastAsia" w:ascii="仿宋" w:hAnsi="仿宋" w:eastAsia="仿宋" w:cs="仿宋"/>
                <w:b w:val="0"/>
                <w:bCs/>
                <w:kern w:val="2"/>
                <w:sz w:val="24"/>
                <w:szCs w:val="24"/>
                <w:highlight w:val="none"/>
                <w:lang w:val="en-US" w:eastAsia="zh-CN"/>
              </w:rPr>
              <w:t>进行评价：</w:t>
            </w:r>
          </w:p>
          <w:p w14:paraId="5FE212B2">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①提供主要施工机具配置方案，内容基本完整，符合项目施工要求的得2 分；</w:t>
            </w:r>
          </w:p>
          <w:p w14:paraId="7E70025B">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②在满足①的基础上，施工机具配置齐全、计划安排合理，针对管道切割、粘接、设备安装、试压、冲洗、消毒等关键工序配备专用工具，保障施工质量与安全的得5分；</w:t>
            </w:r>
          </w:p>
          <w:p w14:paraId="08856751">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③未提供或方案不符合要求的不得分。</w:t>
            </w:r>
          </w:p>
        </w:tc>
      </w:tr>
      <w:tr w14:paraId="064FD1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shd w:val="clear" w:color="auto" w:fill="auto"/>
            <w:vAlign w:val="center"/>
          </w:tcPr>
          <w:p w14:paraId="6911FD5A">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1-11</w:t>
            </w:r>
          </w:p>
        </w:tc>
        <w:tc>
          <w:tcPr>
            <w:tcW w:w="834" w:type="dxa"/>
            <w:vAlign w:val="center"/>
          </w:tcPr>
          <w:p w14:paraId="050AEF54">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w:t>
            </w:r>
          </w:p>
        </w:tc>
        <w:tc>
          <w:tcPr>
            <w:tcW w:w="7932" w:type="dxa"/>
          </w:tcPr>
          <w:p w14:paraId="4B35EBAB">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根据供应商提供的</w:t>
            </w:r>
            <w:r>
              <w:rPr>
                <w:rFonts w:hint="eastAsia" w:ascii="仿宋" w:hAnsi="仿宋" w:eastAsia="仿宋" w:cs="仿宋"/>
                <w:b/>
                <w:bCs w:val="0"/>
                <w:kern w:val="2"/>
                <w:sz w:val="24"/>
                <w:szCs w:val="24"/>
                <w:highlight w:val="none"/>
                <w:lang w:val="en-US" w:eastAsia="zh-CN"/>
              </w:rPr>
              <w:t>水质保障专项方案</w:t>
            </w:r>
            <w:r>
              <w:rPr>
                <w:rFonts w:hint="eastAsia" w:ascii="仿宋" w:hAnsi="仿宋" w:eastAsia="仿宋" w:cs="仿宋"/>
                <w:b w:val="0"/>
                <w:bCs/>
                <w:kern w:val="2"/>
                <w:sz w:val="24"/>
                <w:szCs w:val="24"/>
                <w:highlight w:val="none"/>
                <w:lang w:val="en-US" w:eastAsia="zh-CN"/>
              </w:rPr>
              <w:t>进行评价：</w:t>
            </w:r>
          </w:p>
          <w:p w14:paraId="22BBCC4C">
            <w:pPr>
              <w:pStyle w:val="2"/>
              <w:spacing w:line="360" w:lineRule="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bidi="ar-SA"/>
              </w:rPr>
              <w:t>对水箱防护、管道冲洗消毒、水质检测、防污染措施、涉水材料卫生安全管控等内容有针对性的描述，符合本项目情况，每提供1项的得1分，满分5分，未提供不得分。</w:t>
            </w:r>
          </w:p>
        </w:tc>
      </w:tr>
      <w:tr w14:paraId="3B81B9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shd w:val="clear" w:color="auto" w:fill="auto"/>
            <w:vAlign w:val="center"/>
          </w:tcPr>
          <w:p w14:paraId="2397CACC">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1-12</w:t>
            </w:r>
          </w:p>
        </w:tc>
        <w:tc>
          <w:tcPr>
            <w:tcW w:w="834" w:type="dxa"/>
            <w:vAlign w:val="center"/>
          </w:tcPr>
          <w:p w14:paraId="216560C4">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3</w:t>
            </w:r>
          </w:p>
        </w:tc>
        <w:tc>
          <w:tcPr>
            <w:tcW w:w="7932" w:type="dxa"/>
          </w:tcPr>
          <w:p w14:paraId="17AB086B">
            <w:pPr>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供应商可为本项目配备二次供水智能管理平台，实现设备运行状态远程实时监控，可在线监测：水箱液位、供水压力、变频器运行频率、水泵运行状态、供电电压、电流等关键参数，并支持数据查看、异常告警、历史记录查询。满足要求的得3分，否则不得分。</w:t>
            </w:r>
          </w:p>
          <w:p w14:paraId="47410284">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注：须提供①平台功能运行截图（需体现上述监测内容）；②平台合法使用权证明（二选一）：a.自有平台的提供软件著作权登记证书；b.非自有平台：提供正式授权书或服务协议，并承诺为本项目提供专属使用权限。</w:t>
            </w:r>
          </w:p>
        </w:tc>
      </w:tr>
      <w:tr w14:paraId="3205761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500" w:hRule="atLeast"/>
          <w:jc w:val="center"/>
        </w:trPr>
        <w:tc>
          <w:tcPr>
            <w:tcW w:w="964" w:type="dxa"/>
            <w:shd w:val="clear" w:color="auto" w:fill="auto"/>
            <w:vAlign w:val="center"/>
          </w:tcPr>
          <w:p w14:paraId="49E0685C">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1-13</w:t>
            </w:r>
          </w:p>
        </w:tc>
        <w:tc>
          <w:tcPr>
            <w:tcW w:w="834" w:type="dxa"/>
            <w:vAlign w:val="center"/>
          </w:tcPr>
          <w:p w14:paraId="3A898D35">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3</w:t>
            </w:r>
          </w:p>
        </w:tc>
        <w:tc>
          <w:tcPr>
            <w:tcW w:w="7932" w:type="dxa"/>
          </w:tcPr>
          <w:p w14:paraId="782AC8E5">
            <w:pPr>
              <w:keepNext w:val="0"/>
              <w:keepLines w:val="0"/>
              <w:widowControl/>
              <w:suppressLineNumbers w:val="0"/>
              <w:spacing w:line="360" w:lineRule="auto"/>
              <w:jc w:val="left"/>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根据供应商为本项目使用的</w:t>
            </w:r>
            <w:r>
              <w:rPr>
                <w:rFonts w:hint="eastAsia" w:ascii="仿宋" w:hAnsi="仿宋" w:eastAsia="仿宋" w:cs="仿宋"/>
                <w:b/>
                <w:bCs w:val="0"/>
                <w:kern w:val="2"/>
                <w:sz w:val="24"/>
                <w:szCs w:val="24"/>
                <w:highlight w:val="none"/>
                <w:lang w:val="en-US" w:eastAsia="zh-CN"/>
              </w:rPr>
              <w:t>PVC</w:t>
            </w:r>
            <w:r>
              <w:rPr>
                <w:rFonts w:hint="eastAsia" w:ascii="仿宋" w:hAnsi="仿宋" w:eastAsia="仿宋" w:cs="仿宋"/>
                <w:b/>
                <w:bCs w:val="0"/>
                <w:kern w:val="2"/>
                <w:sz w:val="24"/>
                <w:szCs w:val="24"/>
                <w:highlight w:val="none"/>
                <w:lang w:val="en-US" w:eastAsia="zh-CN"/>
              </w:rPr>
              <w:noBreakHyphen/>
            </w:r>
            <w:r>
              <w:rPr>
                <w:rFonts w:hint="eastAsia" w:ascii="仿宋" w:hAnsi="仿宋" w:eastAsia="仿宋" w:cs="仿宋"/>
                <w:b/>
                <w:bCs w:val="0"/>
                <w:kern w:val="2"/>
                <w:sz w:val="24"/>
                <w:szCs w:val="24"/>
                <w:highlight w:val="none"/>
                <w:lang w:val="en-US" w:eastAsia="zh-CN"/>
              </w:rPr>
              <w:t>U给水用管材</w:t>
            </w:r>
            <w:r>
              <w:rPr>
                <w:rFonts w:hint="eastAsia" w:ascii="仿宋" w:hAnsi="仿宋" w:eastAsia="仿宋" w:cs="仿宋"/>
                <w:b w:val="0"/>
                <w:bCs/>
                <w:kern w:val="2"/>
                <w:sz w:val="24"/>
                <w:szCs w:val="24"/>
                <w:highlight w:val="none"/>
                <w:lang w:val="en-US" w:eastAsia="zh-CN"/>
              </w:rPr>
              <w:t>进行评价：</w:t>
            </w:r>
          </w:p>
          <w:p w14:paraId="7F28D631">
            <w:pPr>
              <w:keepNext w:val="0"/>
              <w:keepLines w:val="0"/>
              <w:widowControl/>
              <w:suppressLineNumbers w:val="0"/>
              <w:spacing w:line="360" w:lineRule="auto"/>
              <w:jc w:val="left"/>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提供PVC</w:t>
            </w:r>
            <w:r>
              <w:rPr>
                <w:rFonts w:hint="eastAsia" w:ascii="仿宋" w:hAnsi="仿宋" w:eastAsia="仿宋" w:cs="仿宋"/>
                <w:b w:val="0"/>
                <w:bCs/>
                <w:kern w:val="2"/>
                <w:sz w:val="24"/>
                <w:szCs w:val="24"/>
                <w:highlight w:val="none"/>
                <w:lang w:val="en-US" w:eastAsia="zh-CN"/>
              </w:rPr>
              <w:noBreakHyphen/>
            </w:r>
            <w:r>
              <w:rPr>
                <w:rFonts w:hint="eastAsia" w:ascii="仿宋" w:hAnsi="仿宋" w:eastAsia="仿宋" w:cs="仿宋"/>
                <w:b w:val="0"/>
                <w:bCs/>
                <w:kern w:val="2"/>
                <w:sz w:val="24"/>
                <w:szCs w:val="24"/>
                <w:highlight w:val="none"/>
                <w:lang w:val="en-US" w:eastAsia="zh-CN"/>
              </w:rPr>
              <w:t>U给水用管材检测报告，检测符合要求，检测内容含平均外径、壁厚、维卡软化温度、纵向回缩率。满足上述要求的得3分。</w:t>
            </w:r>
          </w:p>
          <w:p w14:paraId="1D88AFCE">
            <w:pPr>
              <w:keepNext w:val="0"/>
              <w:keepLines w:val="0"/>
              <w:widowControl/>
              <w:suppressLineNumbers w:val="0"/>
              <w:spacing w:line="360" w:lineRule="auto"/>
              <w:jc w:val="left"/>
              <w:rPr>
                <w:rFonts w:hint="default"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注：需提供通过国家认可的第三方检验（检测）机构出具的相应报告佐证（报告需加盖检验检测专用章，并标注资质认定标志CMA或CNAS），否则不得分。</w:t>
            </w:r>
          </w:p>
        </w:tc>
      </w:tr>
      <w:tr w14:paraId="2F05B5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shd w:val="clear" w:color="auto" w:fill="auto"/>
            <w:vAlign w:val="center"/>
          </w:tcPr>
          <w:p w14:paraId="2083DE5A">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1-14</w:t>
            </w:r>
          </w:p>
        </w:tc>
        <w:tc>
          <w:tcPr>
            <w:tcW w:w="834" w:type="dxa"/>
            <w:vAlign w:val="center"/>
          </w:tcPr>
          <w:p w14:paraId="201A27D3">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3</w:t>
            </w:r>
          </w:p>
        </w:tc>
        <w:tc>
          <w:tcPr>
            <w:tcW w:w="7932" w:type="dxa"/>
          </w:tcPr>
          <w:p w14:paraId="3646284A">
            <w:pPr>
              <w:keepNext w:val="0"/>
              <w:keepLines w:val="0"/>
              <w:widowControl/>
              <w:suppressLineNumbers w:val="0"/>
              <w:spacing w:line="360" w:lineRule="auto"/>
              <w:jc w:val="left"/>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根据供应商为本项目使用的</w:t>
            </w:r>
            <w:r>
              <w:rPr>
                <w:rFonts w:hint="eastAsia" w:ascii="仿宋" w:hAnsi="仿宋" w:eastAsia="仿宋" w:cs="仿宋"/>
                <w:b/>
                <w:bCs w:val="0"/>
                <w:kern w:val="2"/>
                <w:sz w:val="24"/>
                <w:szCs w:val="24"/>
                <w:highlight w:val="none"/>
                <w:lang w:val="en-US" w:eastAsia="zh-CN"/>
              </w:rPr>
              <w:t>恒压变频供水设备（成套）</w:t>
            </w:r>
            <w:r>
              <w:rPr>
                <w:rFonts w:hint="eastAsia" w:ascii="仿宋" w:hAnsi="仿宋" w:eastAsia="仿宋" w:cs="仿宋"/>
                <w:b w:val="0"/>
                <w:bCs/>
                <w:kern w:val="2"/>
                <w:sz w:val="24"/>
                <w:szCs w:val="24"/>
                <w:highlight w:val="none"/>
                <w:lang w:val="en-US" w:eastAsia="zh-CN"/>
              </w:rPr>
              <w:t>进行评价：</w:t>
            </w:r>
          </w:p>
          <w:p w14:paraId="5D24F0D0">
            <w:pPr>
              <w:keepNext w:val="0"/>
              <w:keepLines w:val="0"/>
              <w:widowControl/>
              <w:suppressLineNumbers w:val="0"/>
              <w:spacing w:line="360" w:lineRule="auto"/>
              <w:jc w:val="left"/>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提供恒压变频供水设备（成套）检测报告，检测符合要求，检测内容应包含设备供水能力、连续运行能力、抗干扰能力、强度及密封性、设备各项功能检测。满足上述要求的得3分。</w:t>
            </w:r>
          </w:p>
          <w:p w14:paraId="23A0AC9C">
            <w:pPr>
              <w:keepNext w:val="0"/>
              <w:keepLines w:val="0"/>
              <w:widowControl/>
              <w:suppressLineNumbers w:val="0"/>
              <w:spacing w:line="360" w:lineRule="auto"/>
              <w:jc w:val="left"/>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注：需提供通过国家认可的第三方检验（检测）机构出具的相应报告佐证（报告需加盖检验检测专用章，并标注资质认定标志CMA或CNAS），否则不得分。</w:t>
            </w:r>
          </w:p>
        </w:tc>
      </w:tr>
      <w:tr w14:paraId="22C304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shd w:val="clear" w:color="auto" w:fill="auto"/>
            <w:vAlign w:val="center"/>
          </w:tcPr>
          <w:p w14:paraId="370BAFBC">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1-15</w:t>
            </w:r>
          </w:p>
        </w:tc>
        <w:tc>
          <w:tcPr>
            <w:tcW w:w="834" w:type="dxa"/>
            <w:vAlign w:val="center"/>
          </w:tcPr>
          <w:p w14:paraId="4976C4A8">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3</w:t>
            </w:r>
          </w:p>
        </w:tc>
        <w:tc>
          <w:tcPr>
            <w:tcW w:w="7932" w:type="dxa"/>
          </w:tcPr>
          <w:p w14:paraId="77E5F3EC">
            <w:pPr>
              <w:keepNext w:val="0"/>
              <w:keepLines w:val="0"/>
              <w:widowControl/>
              <w:suppressLineNumbers w:val="0"/>
              <w:spacing w:line="360" w:lineRule="auto"/>
              <w:jc w:val="left"/>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根据供应商为本项目使用的</w:t>
            </w:r>
            <w:r>
              <w:rPr>
                <w:rFonts w:hint="eastAsia" w:ascii="仿宋" w:hAnsi="仿宋" w:eastAsia="仿宋" w:cs="仿宋"/>
                <w:b/>
                <w:bCs w:val="0"/>
                <w:kern w:val="2"/>
                <w:sz w:val="24"/>
                <w:szCs w:val="24"/>
                <w:highlight w:val="none"/>
                <w:lang w:val="en-US" w:eastAsia="zh-CN"/>
              </w:rPr>
              <w:t>变频控制柜</w:t>
            </w:r>
            <w:r>
              <w:rPr>
                <w:rFonts w:hint="eastAsia" w:ascii="仿宋" w:hAnsi="仿宋" w:eastAsia="仿宋" w:cs="仿宋"/>
                <w:b w:val="0"/>
                <w:bCs/>
                <w:kern w:val="2"/>
                <w:sz w:val="24"/>
                <w:szCs w:val="24"/>
                <w:highlight w:val="none"/>
                <w:lang w:val="en-US" w:eastAsia="zh-CN"/>
              </w:rPr>
              <w:t>进行评价：</w:t>
            </w:r>
          </w:p>
          <w:p w14:paraId="071D01E8">
            <w:pPr>
              <w:keepNext w:val="0"/>
              <w:keepLines w:val="0"/>
              <w:widowControl/>
              <w:suppressLineNumbers w:val="0"/>
              <w:spacing w:line="360" w:lineRule="auto"/>
              <w:jc w:val="left"/>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提供变频控制柜检测报告，检测符合要求，检测内容应包含防护等级（防护等级不低于IP65）、绝缘电阻与介电性能、安全接地及防雷。满足上述要求的得3分。</w:t>
            </w:r>
          </w:p>
          <w:p w14:paraId="25630E0E">
            <w:pPr>
              <w:keepNext w:val="0"/>
              <w:keepLines w:val="0"/>
              <w:widowControl/>
              <w:suppressLineNumbers w:val="0"/>
              <w:spacing w:line="360" w:lineRule="auto"/>
              <w:jc w:val="left"/>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注：需提供通过国家认可的第三方检验（检测）机构出具的相应报告佐证（报告需加盖检验检测专用章，并标注资质认定标志CMA或CNAS），否则不得分。</w:t>
            </w:r>
          </w:p>
        </w:tc>
      </w:tr>
      <w:tr w14:paraId="40B1417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shd w:val="clear" w:color="auto" w:fill="auto"/>
            <w:vAlign w:val="center"/>
          </w:tcPr>
          <w:p w14:paraId="2DF68682">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1-16</w:t>
            </w:r>
          </w:p>
        </w:tc>
        <w:tc>
          <w:tcPr>
            <w:tcW w:w="834" w:type="dxa"/>
            <w:vAlign w:val="center"/>
          </w:tcPr>
          <w:p w14:paraId="03777C63">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3</w:t>
            </w:r>
          </w:p>
        </w:tc>
        <w:tc>
          <w:tcPr>
            <w:tcW w:w="7932" w:type="dxa"/>
          </w:tcPr>
          <w:p w14:paraId="652A5A34">
            <w:pPr>
              <w:keepNext w:val="0"/>
              <w:keepLines w:val="0"/>
              <w:widowControl/>
              <w:suppressLineNumbers w:val="0"/>
              <w:spacing w:line="360" w:lineRule="auto"/>
              <w:jc w:val="left"/>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供应商书面承诺：成交后，在项目实施、施工、运维全过程中，对拟投入本项目的所有工作人员人身安全、劳动保护、工伤保险、安全作业承担全部责任；若项目人员发生工伤、意外伤害、安全事故或造成第三方人身及财产损失，均由供应商承担全部法律责任、经济赔偿责任及善后处理责任</w:t>
            </w:r>
            <w:r>
              <w:rPr>
                <w:rFonts w:hint="eastAsia" w:ascii="仿宋" w:hAnsi="仿宋" w:eastAsia="仿宋" w:cs="仿宋"/>
                <w:b w:val="0"/>
                <w:bCs w:val="0"/>
                <w:kern w:val="2"/>
                <w:sz w:val="24"/>
                <w:szCs w:val="24"/>
                <w:highlight w:val="none"/>
                <w:lang w:val="en-US" w:eastAsia="zh-CN" w:bidi="ar"/>
              </w:rPr>
              <w:t>。</w:t>
            </w:r>
            <w:r>
              <w:rPr>
                <w:rFonts w:hint="eastAsia" w:ascii="仿宋" w:hAnsi="仿宋" w:eastAsia="仿宋" w:cs="宋体"/>
                <w:kern w:val="0"/>
                <w:sz w:val="24"/>
                <w:szCs w:val="24"/>
                <w:highlight w:val="none"/>
                <w:lang w:val="en-US" w:eastAsia="zh-CN"/>
              </w:rPr>
              <w:t>提供书面承诺的得3分，否则不得分。</w:t>
            </w:r>
          </w:p>
        </w:tc>
      </w:tr>
      <w:tr w14:paraId="33852A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shd w:val="clear" w:color="auto" w:fill="auto"/>
            <w:vAlign w:val="center"/>
          </w:tcPr>
          <w:p w14:paraId="688EE765">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1-17</w:t>
            </w:r>
          </w:p>
        </w:tc>
        <w:tc>
          <w:tcPr>
            <w:tcW w:w="834" w:type="dxa"/>
            <w:vAlign w:val="center"/>
          </w:tcPr>
          <w:p w14:paraId="716D832F">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3</w:t>
            </w:r>
          </w:p>
        </w:tc>
        <w:tc>
          <w:tcPr>
            <w:tcW w:w="7932" w:type="dxa"/>
          </w:tcPr>
          <w:p w14:paraId="631F6092">
            <w:pPr>
              <w:keepNext w:val="0"/>
              <w:keepLines w:val="0"/>
              <w:widowControl/>
              <w:suppressLineNumbers w:val="0"/>
              <w:spacing w:line="360" w:lineRule="auto"/>
              <w:jc w:val="left"/>
              <w:rPr>
                <w:rFonts w:hint="eastAsia"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供应商书面承诺：成交后,在项目实施全过程中，严格按照采购文件及合同约定使用合格、全新、符合国家标准及设计要求的材料，不使用假冒、伪劣、劣质、翻新、三无、非标材料，不偷工减料、不降低施工标准、不擅自变更工艺。若违反承诺，采购人有权单方面解除合同、没收履约保证金，并追究全部经济损失与法律责任。</w:t>
            </w:r>
            <w:r>
              <w:rPr>
                <w:rFonts w:hint="eastAsia" w:ascii="仿宋" w:hAnsi="仿宋" w:eastAsia="仿宋" w:cs="宋体"/>
                <w:kern w:val="0"/>
                <w:sz w:val="24"/>
                <w:szCs w:val="24"/>
                <w:highlight w:val="none"/>
                <w:lang w:val="en-US" w:eastAsia="zh-CN"/>
              </w:rPr>
              <w:t>提供书面承诺的得3分，否则不得分。</w:t>
            </w:r>
          </w:p>
        </w:tc>
      </w:tr>
      <w:tr w14:paraId="41B584A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4" w:type="dxa"/>
            <w:shd w:val="clear" w:color="auto" w:fill="auto"/>
            <w:vAlign w:val="center"/>
          </w:tcPr>
          <w:p w14:paraId="1AF9DF97">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1-18</w:t>
            </w:r>
          </w:p>
        </w:tc>
        <w:tc>
          <w:tcPr>
            <w:tcW w:w="834" w:type="dxa"/>
            <w:vAlign w:val="center"/>
          </w:tcPr>
          <w:p w14:paraId="5B687C67">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3</w:t>
            </w:r>
          </w:p>
        </w:tc>
        <w:tc>
          <w:tcPr>
            <w:tcW w:w="7932" w:type="dxa"/>
          </w:tcPr>
          <w:p w14:paraId="0FC774F3">
            <w:pPr>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kern w:val="2"/>
                <w:sz w:val="24"/>
                <w:szCs w:val="24"/>
                <w:highlight w:val="none"/>
                <w:lang w:val="en-US" w:eastAsia="zh-CN"/>
              </w:rPr>
            </w:pPr>
            <w:r>
              <w:rPr>
                <w:rFonts w:hint="eastAsia" w:ascii="仿宋" w:hAnsi="仿宋" w:eastAsia="仿宋" w:cs="仿宋"/>
                <w:b w:val="0"/>
                <w:bCs/>
                <w:kern w:val="2"/>
                <w:sz w:val="24"/>
                <w:szCs w:val="24"/>
                <w:highlight w:val="none"/>
                <w:lang w:val="en-US" w:eastAsia="zh-CN"/>
              </w:rPr>
              <w:t>供应商书面承诺：已对本项目工程量清单、采购范围及全部内容进行全面核对并完全确认，充分知悉所有施工内容与要求，清单如有漏项、缺项均视为已包含在总报价内；成交后严格按照采购文件及合同约定范围完成全部施工，除采购人书面提出的变更外，不再以任何理由提出费用增补、调价或追加款项要求，否则采购人有权终止合同、不予支付款项并追究相应责任。</w:t>
            </w:r>
            <w:r>
              <w:rPr>
                <w:rFonts w:hint="eastAsia" w:ascii="仿宋" w:hAnsi="仿宋" w:eastAsia="仿宋" w:cs="宋体"/>
                <w:kern w:val="0"/>
                <w:sz w:val="24"/>
                <w:szCs w:val="24"/>
                <w:highlight w:val="none"/>
                <w:lang w:val="en-US" w:eastAsia="zh-CN"/>
              </w:rPr>
              <w:t>提供书面承诺的得3分，否则不得分。</w:t>
            </w:r>
          </w:p>
        </w:tc>
      </w:tr>
    </w:tbl>
    <w:p w14:paraId="5D1EB672">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商务部分评分F</w:t>
      </w:r>
      <w:r>
        <w:rPr>
          <w:rFonts w:hint="eastAsia" w:ascii="仿宋" w:hAnsi="仿宋" w:eastAsia="仿宋" w:cs="仿宋"/>
          <w:b/>
          <w:bCs/>
          <w:kern w:val="0"/>
          <w:sz w:val="24"/>
          <w:highlight w:val="none"/>
          <w:lang w:val="en-US" w:eastAsia="zh-CN"/>
        </w:rPr>
        <w:t>3</w:t>
      </w:r>
      <w:r>
        <w:rPr>
          <w:rFonts w:hint="eastAsia" w:ascii="仿宋" w:hAnsi="仿宋" w:eastAsia="仿宋" w:cs="仿宋"/>
          <w:b/>
          <w:bCs/>
          <w:kern w:val="0"/>
          <w:sz w:val="24"/>
          <w:highlight w:val="none"/>
        </w:rPr>
        <w:t>          满分</w:t>
      </w:r>
      <w:r>
        <w:rPr>
          <w:rFonts w:hint="eastAsia" w:ascii="仿宋" w:hAnsi="仿宋" w:eastAsia="仿宋" w:cs="仿宋"/>
          <w:b/>
          <w:bCs/>
          <w:kern w:val="0"/>
          <w:sz w:val="24"/>
          <w:highlight w:val="none"/>
          <w:u w:val="single"/>
        </w:rPr>
        <w:t>25</w:t>
      </w:r>
      <w:r>
        <w:rPr>
          <w:rFonts w:hint="eastAsia" w:ascii="仿宋" w:hAnsi="仿宋" w:eastAsia="仿宋" w:cs="仿宋"/>
          <w:b/>
          <w:bCs/>
          <w:kern w:val="0"/>
          <w:sz w:val="24"/>
          <w:highlight w:val="none"/>
        </w:rPr>
        <w:t>分</w:t>
      </w:r>
    </w:p>
    <w:tbl>
      <w:tblPr>
        <w:tblStyle w:val="19"/>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773"/>
        <w:gridCol w:w="850"/>
        <w:gridCol w:w="8124"/>
      </w:tblGrid>
      <w:tr w14:paraId="72A4BB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jc w:val="center"/>
        </w:trPr>
        <w:tc>
          <w:tcPr>
            <w:tcW w:w="773" w:type="dxa"/>
            <w:vAlign w:val="center"/>
          </w:tcPr>
          <w:p w14:paraId="0A8ED2EF">
            <w:pPr>
              <w:keepNext w:val="0"/>
              <w:keepLines w:val="0"/>
              <w:widowControl w:val="0"/>
              <w:suppressLineNumbers w:val="0"/>
              <w:spacing w:before="0" w:beforeAutospacing="0" w:after="0" w:afterAutospacing="0" w:line="360" w:lineRule="auto"/>
              <w:ind w:left="0" w:leftChars="0" w:right="0" w:rightChars="0"/>
              <w:jc w:val="center"/>
              <w:rPr>
                <w:rFonts w:hint="eastAsia" w:ascii="仿宋" w:hAnsi="仿宋" w:eastAsia="仿宋" w:cs="仿宋"/>
                <w:kern w:val="0"/>
                <w:sz w:val="24"/>
                <w:highlight w:val="none"/>
              </w:rPr>
            </w:pPr>
            <w:r>
              <w:rPr>
                <w:rFonts w:hint="eastAsia" w:ascii="仿宋" w:hAnsi="仿宋" w:eastAsia="仿宋" w:cs="宋体"/>
                <w:kern w:val="0"/>
                <w:sz w:val="24"/>
                <w:highlight w:val="none"/>
                <w:lang w:eastAsia="zh-CN"/>
              </w:rPr>
              <w:t>评审</w:t>
            </w:r>
            <w:r>
              <w:rPr>
                <w:rFonts w:hint="default" w:ascii="仿宋" w:hAnsi="仿宋" w:eastAsia="仿宋" w:cs="宋体"/>
                <w:kern w:val="0"/>
                <w:sz w:val="24"/>
                <w:highlight w:val="none"/>
              </w:rPr>
              <w:t>项目</w:t>
            </w:r>
          </w:p>
        </w:tc>
        <w:tc>
          <w:tcPr>
            <w:tcW w:w="850" w:type="dxa"/>
            <w:vAlign w:val="center"/>
          </w:tcPr>
          <w:p w14:paraId="52B3DADC">
            <w:pPr>
              <w:keepNext w:val="0"/>
              <w:keepLines w:val="0"/>
              <w:widowControl w:val="0"/>
              <w:suppressLineNumbers w:val="0"/>
              <w:spacing w:before="0" w:beforeAutospacing="0" w:after="0" w:afterAutospacing="0" w:line="360" w:lineRule="auto"/>
              <w:ind w:left="0" w:leftChars="0" w:right="0" w:rightChars="0"/>
              <w:jc w:val="center"/>
              <w:rPr>
                <w:rFonts w:hint="eastAsia" w:ascii="仿宋" w:hAnsi="仿宋" w:eastAsia="仿宋" w:cs="仿宋"/>
                <w:kern w:val="0"/>
                <w:sz w:val="24"/>
                <w:highlight w:val="none"/>
              </w:rPr>
            </w:pPr>
            <w:r>
              <w:rPr>
                <w:rFonts w:hint="eastAsia" w:ascii="仿宋" w:hAnsi="仿宋" w:eastAsia="仿宋" w:cs="宋体"/>
                <w:kern w:val="0"/>
                <w:sz w:val="24"/>
                <w:highlight w:val="none"/>
                <w:lang w:eastAsia="zh-CN"/>
              </w:rPr>
              <w:t>评审</w:t>
            </w:r>
            <w:r>
              <w:rPr>
                <w:rFonts w:hint="default" w:ascii="仿宋" w:hAnsi="仿宋" w:eastAsia="仿宋" w:cs="宋体"/>
                <w:kern w:val="0"/>
                <w:sz w:val="24"/>
                <w:highlight w:val="none"/>
              </w:rPr>
              <w:t>分值</w:t>
            </w:r>
          </w:p>
        </w:tc>
        <w:tc>
          <w:tcPr>
            <w:tcW w:w="8124" w:type="dxa"/>
            <w:vAlign w:val="center"/>
          </w:tcPr>
          <w:p w14:paraId="2CABFECB">
            <w:pPr>
              <w:keepNext w:val="0"/>
              <w:keepLines w:val="0"/>
              <w:widowControl w:val="0"/>
              <w:suppressLineNumbers w:val="0"/>
              <w:spacing w:before="0" w:beforeAutospacing="0" w:after="0" w:afterAutospacing="0" w:line="360" w:lineRule="auto"/>
              <w:ind w:left="0" w:leftChars="0" w:right="0" w:rightChars="0"/>
              <w:jc w:val="center"/>
              <w:rPr>
                <w:rFonts w:hint="eastAsia" w:ascii="仿宋" w:hAnsi="仿宋" w:eastAsia="仿宋" w:cs="仿宋"/>
                <w:kern w:val="0"/>
                <w:sz w:val="24"/>
                <w:highlight w:val="none"/>
              </w:rPr>
            </w:pPr>
            <w:r>
              <w:rPr>
                <w:rFonts w:hint="eastAsia" w:ascii="仿宋" w:hAnsi="仿宋" w:eastAsia="仿宋" w:cs="宋体"/>
                <w:kern w:val="0"/>
                <w:sz w:val="24"/>
                <w:highlight w:val="none"/>
                <w:lang w:eastAsia="zh-CN"/>
              </w:rPr>
              <w:t>评审</w:t>
            </w:r>
            <w:r>
              <w:rPr>
                <w:rFonts w:hint="default" w:ascii="仿宋" w:hAnsi="仿宋" w:eastAsia="仿宋" w:cs="宋体"/>
                <w:kern w:val="0"/>
                <w:sz w:val="24"/>
                <w:highlight w:val="none"/>
              </w:rPr>
              <w:t>方法描述</w:t>
            </w:r>
          </w:p>
        </w:tc>
      </w:tr>
      <w:tr w14:paraId="0D8E8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73" w:type="dxa"/>
            <w:vAlign w:val="center"/>
          </w:tcPr>
          <w:p w14:paraId="25DFE0BB">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2-1</w:t>
            </w:r>
          </w:p>
        </w:tc>
        <w:tc>
          <w:tcPr>
            <w:tcW w:w="850" w:type="dxa"/>
            <w:vAlign w:val="center"/>
          </w:tcPr>
          <w:p w14:paraId="5B53E9F4">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4</w:t>
            </w:r>
          </w:p>
        </w:tc>
        <w:tc>
          <w:tcPr>
            <w:tcW w:w="8124" w:type="dxa"/>
            <w:vAlign w:val="center"/>
          </w:tcPr>
          <w:p w14:paraId="1D158487">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供应商具备质量管理体系认证</w:t>
            </w:r>
            <w:r>
              <w:rPr>
                <w:rFonts w:hint="eastAsia" w:ascii="仿宋" w:hAnsi="仿宋" w:eastAsia="仿宋" w:cs="仿宋"/>
                <w:kern w:val="0"/>
                <w:sz w:val="24"/>
                <w:highlight w:val="none"/>
                <w:lang w:val="en-US" w:eastAsia="zh-CN"/>
              </w:rPr>
              <w:t>证书</w:t>
            </w:r>
            <w:r>
              <w:rPr>
                <w:rFonts w:hint="eastAsia" w:ascii="仿宋" w:hAnsi="仿宋" w:eastAsia="仿宋" w:cs="仿宋"/>
                <w:kern w:val="0"/>
                <w:sz w:val="24"/>
                <w:highlight w:val="none"/>
              </w:rPr>
              <w:t>、环境管理体系认证</w:t>
            </w:r>
            <w:r>
              <w:rPr>
                <w:rFonts w:hint="eastAsia" w:ascii="仿宋" w:hAnsi="仿宋" w:eastAsia="仿宋" w:cs="仿宋"/>
                <w:kern w:val="0"/>
                <w:sz w:val="24"/>
                <w:highlight w:val="none"/>
                <w:lang w:val="en-US" w:eastAsia="zh-CN"/>
              </w:rPr>
              <w:t>证书</w:t>
            </w:r>
            <w:r>
              <w:rPr>
                <w:rFonts w:hint="eastAsia" w:ascii="仿宋" w:hAnsi="仿宋" w:eastAsia="仿宋" w:cs="仿宋"/>
                <w:kern w:val="0"/>
                <w:sz w:val="24"/>
                <w:highlight w:val="none"/>
              </w:rPr>
              <w:t>、职业健康安全管理体系认证</w:t>
            </w:r>
            <w:r>
              <w:rPr>
                <w:rFonts w:hint="eastAsia" w:ascii="仿宋" w:hAnsi="仿宋" w:eastAsia="仿宋" w:cs="仿宋"/>
                <w:kern w:val="0"/>
                <w:sz w:val="24"/>
                <w:highlight w:val="none"/>
                <w:lang w:val="en-US" w:eastAsia="zh-CN"/>
              </w:rPr>
              <w:t>证书</w:t>
            </w:r>
            <w:r>
              <w:rPr>
                <w:rFonts w:hint="eastAsia" w:ascii="仿宋" w:hAnsi="仿宋" w:eastAsia="仿宋" w:cs="仿宋"/>
                <w:kern w:val="0"/>
                <w:sz w:val="24"/>
                <w:highlight w:val="none"/>
                <w:lang w:eastAsia="zh-CN"/>
              </w:rPr>
              <w:t>、售后服务体系认证</w:t>
            </w:r>
            <w:r>
              <w:rPr>
                <w:rFonts w:hint="eastAsia" w:ascii="仿宋" w:hAnsi="仿宋" w:eastAsia="仿宋" w:cs="仿宋"/>
                <w:kern w:val="0"/>
                <w:sz w:val="24"/>
                <w:highlight w:val="none"/>
                <w:lang w:val="en-US" w:eastAsia="zh-CN"/>
              </w:rPr>
              <w:t>证书</w:t>
            </w:r>
            <w:r>
              <w:rPr>
                <w:rFonts w:hint="eastAsia" w:ascii="仿宋" w:hAnsi="仿宋" w:eastAsia="仿宋" w:cs="仿宋"/>
                <w:kern w:val="0"/>
                <w:sz w:val="24"/>
                <w:highlight w:val="none"/>
              </w:rPr>
              <w:t>且在有效期内的，每提供一个上述认证证书扫描件以及从全国认证认可监督管理委员会（www.cnca.gov.cn）官方网站上查询截图并注明网址的得1分，否则不得分。网站上查询截图若显示暂停或撤销状态的，或显示证书不在有效期，均不予计分。本项满分</w:t>
            </w:r>
            <w:r>
              <w:rPr>
                <w:rFonts w:hint="eastAsia" w:ascii="仿宋" w:hAnsi="仿宋" w:eastAsia="仿宋" w:cs="仿宋"/>
                <w:kern w:val="0"/>
                <w:sz w:val="24"/>
                <w:highlight w:val="none"/>
                <w:lang w:val="en-US" w:eastAsia="zh-CN"/>
              </w:rPr>
              <w:t>4</w:t>
            </w:r>
            <w:r>
              <w:rPr>
                <w:rFonts w:hint="eastAsia" w:ascii="仿宋" w:hAnsi="仿宋" w:eastAsia="仿宋" w:cs="仿宋"/>
                <w:kern w:val="0"/>
                <w:sz w:val="24"/>
                <w:highlight w:val="none"/>
              </w:rPr>
              <w:t>分。</w:t>
            </w:r>
          </w:p>
        </w:tc>
      </w:tr>
      <w:tr w14:paraId="0E2776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73" w:type="dxa"/>
            <w:vAlign w:val="center"/>
          </w:tcPr>
          <w:p w14:paraId="087BC7F8">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2-2</w:t>
            </w:r>
          </w:p>
        </w:tc>
        <w:tc>
          <w:tcPr>
            <w:tcW w:w="850" w:type="dxa"/>
            <w:vAlign w:val="center"/>
          </w:tcPr>
          <w:p w14:paraId="1B2BA316">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2</w:t>
            </w:r>
          </w:p>
        </w:tc>
        <w:tc>
          <w:tcPr>
            <w:tcW w:w="8124" w:type="dxa"/>
          </w:tcPr>
          <w:p w14:paraId="7996B988">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lang w:eastAsia="zh-CN"/>
              </w:rPr>
            </w:pPr>
            <w:r>
              <w:rPr>
                <w:rFonts w:hint="eastAsia" w:ascii="仿宋" w:hAnsi="仿宋" w:eastAsia="仿宋" w:cs="仿宋"/>
                <w:kern w:val="0"/>
                <w:sz w:val="24"/>
                <w:highlight w:val="none"/>
              </w:rPr>
              <w:t>供应商可提供本地化服务的得</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分，否则不得分。供应商可提供合作单位协议或者自身机构的营业执照证明，也可以提供在本地设立的项目部、办公室、办事处等机构证明，或者承诺成交后提供本地化服务。未提供不得分</w:t>
            </w:r>
            <w:r>
              <w:rPr>
                <w:rFonts w:hint="eastAsia" w:ascii="仿宋" w:hAnsi="仿宋" w:eastAsia="仿宋" w:cs="仿宋"/>
                <w:kern w:val="0"/>
                <w:sz w:val="24"/>
                <w:highlight w:val="none"/>
                <w:lang w:eastAsia="zh-CN"/>
              </w:rPr>
              <w:t>。</w:t>
            </w:r>
          </w:p>
        </w:tc>
      </w:tr>
      <w:tr w14:paraId="3A68FF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73" w:type="dxa"/>
            <w:vAlign w:val="center"/>
          </w:tcPr>
          <w:p w14:paraId="3CAFE62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2-3</w:t>
            </w:r>
          </w:p>
        </w:tc>
        <w:tc>
          <w:tcPr>
            <w:tcW w:w="850" w:type="dxa"/>
            <w:vAlign w:val="center"/>
          </w:tcPr>
          <w:p w14:paraId="7437AF94">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2</w:t>
            </w:r>
          </w:p>
        </w:tc>
        <w:tc>
          <w:tcPr>
            <w:tcW w:w="8124" w:type="dxa"/>
          </w:tcPr>
          <w:p w14:paraId="62A78AB3">
            <w:pPr>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供应商书面承诺：</w:t>
            </w:r>
            <w:r>
              <w:rPr>
                <w:rFonts w:hint="eastAsia" w:ascii="仿宋" w:hAnsi="仿宋" w:eastAsia="仿宋" w:cs="宋体"/>
                <w:kern w:val="0"/>
                <w:sz w:val="24"/>
                <w:szCs w:val="24"/>
                <w:highlight w:val="none"/>
              </w:rPr>
              <w:t>合同签订后，45个日历日内完成</w:t>
            </w:r>
            <w:r>
              <w:rPr>
                <w:rFonts w:hint="eastAsia" w:ascii="仿宋" w:hAnsi="仿宋" w:eastAsia="仿宋" w:cs="宋体"/>
                <w:kern w:val="0"/>
                <w:sz w:val="24"/>
                <w:szCs w:val="24"/>
                <w:highlight w:val="none"/>
                <w:lang w:val="en-US" w:eastAsia="zh-CN"/>
              </w:rPr>
              <w:t>施工、验收合格交付使用</w:t>
            </w:r>
            <w:r>
              <w:rPr>
                <w:rFonts w:hint="eastAsia" w:ascii="仿宋" w:hAnsi="仿宋" w:eastAsia="仿宋" w:cs="宋体"/>
                <w:kern w:val="0"/>
                <w:sz w:val="24"/>
                <w:szCs w:val="24"/>
                <w:highlight w:val="none"/>
                <w:lang w:eastAsia="zh-CN"/>
              </w:rPr>
              <w:t>（</w:t>
            </w:r>
            <w:r>
              <w:rPr>
                <w:rFonts w:hint="eastAsia" w:ascii="仿宋" w:hAnsi="仿宋" w:eastAsia="仿宋" w:cs="宋体"/>
                <w:kern w:val="0"/>
                <w:sz w:val="24"/>
                <w:szCs w:val="24"/>
                <w:highlight w:val="none"/>
                <w:lang w:val="en-US" w:eastAsia="zh-CN"/>
              </w:rPr>
              <w:t>施工</w:t>
            </w:r>
            <w:r>
              <w:rPr>
                <w:rFonts w:hint="eastAsia" w:ascii="仿宋" w:hAnsi="仿宋" w:eastAsia="仿宋" w:cs="宋体"/>
                <w:kern w:val="0"/>
                <w:sz w:val="24"/>
                <w:szCs w:val="24"/>
                <w:highlight w:val="none"/>
              </w:rPr>
              <w:t>开工日期以采购人通知为准</w:t>
            </w:r>
            <w:r>
              <w:rPr>
                <w:rFonts w:hint="eastAsia" w:ascii="仿宋" w:hAnsi="仿宋" w:eastAsia="仿宋" w:cs="宋体"/>
                <w:kern w:val="0"/>
                <w:sz w:val="24"/>
                <w:szCs w:val="24"/>
                <w:highlight w:val="none"/>
                <w:lang w:eastAsia="zh-CN"/>
              </w:rPr>
              <w:t>）。</w:t>
            </w:r>
            <w:r>
              <w:rPr>
                <w:rFonts w:hint="eastAsia" w:ascii="仿宋" w:hAnsi="仿宋" w:eastAsia="仿宋" w:cs="宋体"/>
                <w:kern w:val="0"/>
                <w:sz w:val="24"/>
                <w:szCs w:val="24"/>
                <w:highlight w:val="none"/>
                <w:lang w:val="en-US" w:eastAsia="zh-CN"/>
              </w:rPr>
              <w:t>提供书面承诺的得2分，否则不得分。</w:t>
            </w:r>
          </w:p>
        </w:tc>
      </w:tr>
      <w:tr w14:paraId="750592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73" w:type="dxa"/>
            <w:vAlign w:val="center"/>
          </w:tcPr>
          <w:p w14:paraId="44359C5D">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rPr>
              <w:t>2-4</w:t>
            </w:r>
          </w:p>
        </w:tc>
        <w:tc>
          <w:tcPr>
            <w:tcW w:w="850" w:type="dxa"/>
            <w:shd w:val="clear" w:color="auto" w:fill="auto"/>
            <w:vAlign w:val="center"/>
          </w:tcPr>
          <w:p w14:paraId="4BE74444">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6</w:t>
            </w:r>
          </w:p>
        </w:tc>
        <w:tc>
          <w:tcPr>
            <w:tcW w:w="8124" w:type="dxa"/>
            <w:shd w:val="clear" w:color="auto" w:fill="auto"/>
            <w:vAlign w:val="center"/>
          </w:tcPr>
          <w:p w14:paraId="64526F1C">
            <w:pPr>
              <w:pStyle w:val="24"/>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rPr>
              <w:t>根据供应商提供的20</w:t>
            </w:r>
            <w:r>
              <w:rPr>
                <w:rFonts w:hint="eastAsia" w:ascii="仿宋" w:hAnsi="仿宋" w:eastAsia="仿宋" w:cs="仿宋"/>
                <w:sz w:val="24"/>
                <w:highlight w:val="none"/>
                <w:lang w:val="en-US" w:eastAsia="zh-CN"/>
              </w:rPr>
              <w:t>22</w:t>
            </w:r>
            <w:r>
              <w:rPr>
                <w:rFonts w:hint="eastAsia" w:ascii="仿宋" w:hAnsi="仿宋" w:eastAsia="仿宋" w:cs="仿宋"/>
                <w:sz w:val="24"/>
                <w:highlight w:val="none"/>
              </w:rPr>
              <w:t>年</w:t>
            </w:r>
            <w:r>
              <w:rPr>
                <w:rFonts w:hint="eastAsia" w:ascii="仿宋" w:hAnsi="仿宋" w:eastAsia="仿宋" w:cs="仿宋"/>
                <w:b w:val="0"/>
                <w:bCs w:val="0"/>
                <w:sz w:val="24"/>
                <w:szCs w:val="24"/>
                <w:highlight w:val="none"/>
              </w:rPr>
              <w:t>1月1日（以竣工验收日期为准）至今</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完成的</w:t>
            </w:r>
            <w:r>
              <w:rPr>
                <w:rFonts w:hint="eastAsia" w:ascii="仿宋" w:hAnsi="仿宋" w:eastAsia="仿宋" w:cs="仿宋"/>
                <w:b w:val="0"/>
                <w:bCs w:val="0"/>
                <w:sz w:val="24"/>
                <w:szCs w:val="24"/>
                <w:highlight w:val="none"/>
              </w:rPr>
              <w:t>类似项目</w:t>
            </w:r>
            <w:r>
              <w:rPr>
                <w:rFonts w:hint="eastAsia" w:ascii="仿宋" w:hAnsi="仿宋" w:eastAsia="仿宋" w:cs="仿宋"/>
                <w:b w:val="0"/>
                <w:bCs w:val="0"/>
                <w:sz w:val="24"/>
                <w:szCs w:val="24"/>
                <w:highlight w:val="none"/>
                <w:lang w:eastAsia="zh-CN"/>
              </w:rPr>
              <w:t>的</w:t>
            </w:r>
            <w:r>
              <w:rPr>
                <w:rFonts w:hint="eastAsia" w:ascii="仿宋" w:hAnsi="仿宋" w:eastAsia="仿宋" w:cs="仿宋"/>
                <w:b w:val="0"/>
                <w:bCs w:val="0"/>
                <w:sz w:val="24"/>
                <w:szCs w:val="24"/>
                <w:highlight w:val="none"/>
                <w:lang w:val="en-US" w:eastAsia="zh-CN"/>
              </w:rPr>
              <w:t>情况</w:t>
            </w:r>
            <w:r>
              <w:rPr>
                <w:rFonts w:hint="eastAsia" w:ascii="仿宋" w:hAnsi="仿宋" w:eastAsia="仿宋" w:cs="仿宋"/>
                <w:sz w:val="24"/>
                <w:highlight w:val="none"/>
              </w:rPr>
              <w:t>进行评价</w:t>
            </w:r>
            <w:r>
              <w:rPr>
                <w:rFonts w:hint="eastAsia" w:ascii="仿宋" w:hAnsi="仿宋" w:eastAsia="仿宋" w:cs="仿宋"/>
                <w:sz w:val="24"/>
                <w:highlight w:val="none"/>
                <w:lang w:eastAsia="zh-CN"/>
              </w:rPr>
              <w:t>：</w:t>
            </w:r>
          </w:p>
          <w:p w14:paraId="48A3BB8C">
            <w:pPr>
              <w:pStyle w:val="24"/>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textAlignment w:val="auto"/>
              <w:rPr>
                <w:rFonts w:hint="eastAsia" w:ascii="仿宋" w:hAnsi="仿宋" w:eastAsia="仿宋" w:cs="仿宋"/>
                <w:highlight w:val="none"/>
              </w:rPr>
            </w:pPr>
            <w:r>
              <w:rPr>
                <w:rFonts w:hint="eastAsia" w:ascii="仿宋" w:hAnsi="仿宋" w:eastAsia="仿宋" w:cs="仿宋"/>
                <w:sz w:val="24"/>
                <w:highlight w:val="none"/>
              </w:rPr>
              <w:t>每提供一个业绩及有效证明文件的得</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分，满分</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分。</w:t>
            </w:r>
          </w:p>
          <w:p w14:paraId="21BC36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sz w:val="24"/>
                <w:highlight w:val="none"/>
              </w:rPr>
            </w:pPr>
            <w:r>
              <w:rPr>
                <w:rFonts w:hint="eastAsia" w:ascii="仿宋" w:hAnsi="仿宋" w:eastAsia="仿宋" w:cs="仿宋"/>
                <w:sz w:val="24"/>
                <w:highlight w:val="none"/>
              </w:rPr>
              <w:t>注：</w:t>
            </w:r>
          </w:p>
          <w:p w14:paraId="5E140C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sz w:val="24"/>
                <w:highlight w:val="none"/>
              </w:rPr>
            </w:pPr>
            <w:r>
              <w:rPr>
                <w:rFonts w:hint="eastAsia" w:ascii="仿宋" w:hAnsi="仿宋" w:eastAsia="仿宋" w:cs="仿宋"/>
                <w:sz w:val="24"/>
                <w:highlight w:val="none"/>
              </w:rPr>
              <w:t>（1）类似业绩指：供应商承担的</w:t>
            </w:r>
            <w:r>
              <w:rPr>
                <w:rFonts w:hint="eastAsia" w:ascii="仿宋" w:hAnsi="仿宋" w:eastAsia="仿宋" w:cs="仿宋"/>
                <w:sz w:val="24"/>
                <w:highlight w:val="none"/>
                <w:lang w:val="en-US" w:eastAsia="zh-CN"/>
              </w:rPr>
              <w:t>供水</w:t>
            </w:r>
            <w:r>
              <w:rPr>
                <w:rFonts w:hint="eastAsia" w:ascii="仿宋" w:hAnsi="仿宋" w:eastAsia="仿宋" w:cs="仿宋"/>
                <w:sz w:val="24"/>
                <w:highlight w:val="none"/>
              </w:rPr>
              <w:t>改造类</w:t>
            </w:r>
            <w:r>
              <w:rPr>
                <w:rFonts w:hint="eastAsia" w:ascii="仿宋" w:hAnsi="仿宋" w:eastAsia="仿宋" w:cs="仿宋"/>
                <w:sz w:val="24"/>
                <w:highlight w:val="none"/>
                <w:lang w:val="en-US" w:eastAsia="zh-CN"/>
              </w:rPr>
              <w:t>的</w:t>
            </w:r>
            <w:r>
              <w:rPr>
                <w:rFonts w:hint="eastAsia" w:ascii="仿宋" w:hAnsi="仿宋" w:eastAsia="仿宋" w:cs="仿宋"/>
                <w:sz w:val="24"/>
                <w:highlight w:val="none"/>
              </w:rPr>
              <w:t>工程项目。</w:t>
            </w:r>
          </w:p>
          <w:p w14:paraId="0CECE1F1">
            <w:pPr>
              <w:keepNext w:val="0"/>
              <w:keepLines w:val="0"/>
              <w:pageBreakBefore w:val="0"/>
              <w:widowControl/>
              <w:suppressLineNumbers w:val="0"/>
              <w:tabs>
                <w:tab w:val="left" w:pos="1143"/>
              </w:tabs>
              <w:kinsoku/>
              <w:wordWrap/>
              <w:overflowPunct/>
              <w:topLinePunct w:val="0"/>
              <w:autoSpaceDE/>
              <w:autoSpaceDN/>
              <w:bidi w:val="0"/>
              <w:adjustRightInd/>
              <w:snapToGrid/>
              <w:spacing w:before="0" w:beforeAutospacing="0" w:after="0" w:afterAutospacing="0" w:line="360" w:lineRule="auto"/>
              <w:ind w:left="0" w:leftChars="0" w:right="0" w:rightChars="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（2）需提供业绩的以下四项证明材料，否则不计分： ①（中标（成交）公告（提供相关网站中标（成交）公告的下载网页及其网址； ②中标（成交）通知书； ③采购合同文本复印件； ④能够证明该业绩项目已经采购人验收合格的相关证明文件复印件。未提供有效证明文件不得分。</w:t>
            </w:r>
          </w:p>
        </w:tc>
      </w:tr>
      <w:tr w14:paraId="4BAFAC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73" w:type="dxa"/>
            <w:vAlign w:val="center"/>
          </w:tcPr>
          <w:p w14:paraId="67CF434A">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2-5</w:t>
            </w:r>
          </w:p>
        </w:tc>
        <w:tc>
          <w:tcPr>
            <w:tcW w:w="850" w:type="dxa"/>
            <w:shd w:val="clear" w:color="auto" w:fill="auto"/>
            <w:vAlign w:val="center"/>
          </w:tcPr>
          <w:p w14:paraId="2908B98E">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rPr>
              <w:t>5</w:t>
            </w:r>
          </w:p>
        </w:tc>
        <w:tc>
          <w:tcPr>
            <w:tcW w:w="8124" w:type="dxa"/>
            <w:shd w:val="clear" w:color="auto" w:fill="auto"/>
            <w:vAlign w:val="center"/>
          </w:tcPr>
          <w:p w14:paraId="55C03D2B">
            <w:pPr>
              <w:keepNext w:val="0"/>
              <w:keepLines w:val="0"/>
              <w:widowControl/>
              <w:suppressLineNumbers w:val="0"/>
              <w:tabs>
                <w:tab w:val="left" w:pos="1143"/>
              </w:tabs>
              <w:snapToGrid w:val="0"/>
              <w:spacing w:before="0" w:beforeAutospacing="0" w:after="0" w:afterAutospacing="0" w:line="360" w:lineRule="auto"/>
              <w:ind w:left="0" w:leftChars="0" w:right="0" w:rightChars="0"/>
              <w:jc w:val="left"/>
              <w:rPr>
                <w:rFonts w:hint="eastAsia" w:ascii="仿宋" w:hAnsi="仿宋" w:eastAsia="仿宋" w:cs="仿宋"/>
                <w:sz w:val="24"/>
                <w:highlight w:val="none"/>
              </w:rPr>
            </w:pPr>
            <w:r>
              <w:rPr>
                <w:rFonts w:hint="eastAsia" w:ascii="仿宋" w:hAnsi="仿宋" w:eastAsia="仿宋" w:cs="仿宋"/>
                <w:sz w:val="24"/>
                <w:highlight w:val="none"/>
              </w:rPr>
              <w:t>根据供应商自20</w:t>
            </w:r>
            <w:r>
              <w:rPr>
                <w:rFonts w:hint="eastAsia" w:ascii="仿宋" w:hAnsi="仿宋" w:eastAsia="仿宋" w:cs="仿宋"/>
                <w:sz w:val="24"/>
                <w:highlight w:val="none"/>
                <w:lang w:val="en-US" w:eastAsia="zh-CN"/>
              </w:rPr>
              <w:t>22</w:t>
            </w:r>
            <w:r>
              <w:rPr>
                <w:rFonts w:hint="eastAsia" w:ascii="仿宋" w:hAnsi="仿宋" w:eastAsia="仿宋" w:cs="仿宋"/>
                <w:sz w:val="24"/>
                <w:highlight w:val="none"/>
              </w:rPr>
              <w:t>年</w:t>
            </w:r>
            <w:r>
              <w:rPr>
                <w:rFonts w:hint="eastAsia" w:ascii="仿宋" w:hAnsi="仿宋" w:eastAsia="仿宋" w:cs="仿宋"/>
                <w:b w:val="0"/>
                <w:bCs w:val="0"/>
                <w:sz w:val="24"/>
                <w:szCs w:val="24"/>
                <w:highlight w:val="none"/>
              </w:rPr>
              <w:t>1月1日</w:t>
            </w:r>
            <w:r>
              <w:rPr>
                <w:rFonts w:hint="eastAsia" w:ascii="仿宋" w:hAnsi="仿宋" w:eastAsia="仿宋" w:cs="仿宋"/>
                <w:sz w:val="24"/>
                <w:highlight w:val="none"/>
              </w:rPr>
              <w:t>以来，供应商承担的</w:t>
            </w:r>
            <w:r>
              <w:rPr>
                <w:rFonts w:hint="eastAsia" w:ascii="仿宋" w:hAnsi="仿宋" w:eastAsia="仿宋" w:cs="仿宋"/>
                <w:sz w:val="24"/>
                <w:highlight w:val="none"/>
                <w:lang w:val="en-US" w:eastAsia="zh-CN"/>
              </w:rPr>
              <w:t>供水</w:t>
            </w:r>
            <w:r>
              <w:rPr>
                <w:rFonts w:hint="eastAsia" w:ascii="仿宋" w:hAnsi="仿宋" w:eastAsia="仿宋" w:cs="仿宋"/>
                <w:sz w:val="24"/>
                <w:highlight w:val="none"/>
              </w:rPr>
              <w:t>改造类</w:t>
            </w:r>
            <w:r>
              <w:rPr>
                <w:rFonts w:hint="eastAsia" w:ascii="仿宋" w:hAnsi="仿宋" w:eastAsia="仿宋" w:cs="仿宋"/>
                <w:sz w:val="24"/>
                <w:highlight w:val="none"/>
                <w:lang w:val="en-US" w:eastAsia="zh-CN"/>
              </w:rPr>
              <w:t>的</w:t>
            </w:r>
            <w:r>
              <w:rPr>
                <w:rFonts w:hint="eastAsia" w:ascii="仿宋" w:hAnsi="仿宋" w:eastAsia="仿宋" w:cs="仿宋"/>
                <w:sz w:val="24"/>
                <w:highlight w:val="none"/>
              </w:rPr>
              <w:t>工程项目获得业主或行政主管部门评价的，每提供一份良好评价或好评证明的得1分，满分</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分。</w:t>
            </w:r>
          </w:p>
          <w:p w14:paraId="045AA800">
            <w:pPr>
              <w:keepNext w:val="0"/>
              <w:keepLines w:val="0"/>
              <w:widowControl/>
              <w:suppressLineNumbers w:val="0"/>
              <w:tabs>
                <w:tab w:val="left" w:pos="1143"/>
              </w:tabs>
              <w:snapToGrid w:val="0"/>
              <w:spacing w:before="0" w:beforeAutospacing="0" w:after="0" w:afterAutospacing="0" w:line="360" w:lineRule="auto"/>
              <w:ind w:left="0" w:leftChars="0" w:right="0" w:rightChars="0"/>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注：供应商应提供业主或行政主管部门出具的评价材料</w:t>
            </w:r>
            <w:r>
              <w:rPr>
                <w:rFonts w:hint="eastAsia" w:ascii="仿宋" w:hAnsi="仿宋" w:eastAsia="仿宋" w:cs="仿宋"/>
                <w:sz w:val="24"/>
                <w:highlight w:val="none"/>
                <w:lang w:val="en-US" w:eastAsia="zh-CN"/>
              </w:rPr>
              <w:t>以及对应的业绩合同</w:t>
            </w:r>
            <w:r>
              <w:rPr>
                <w:rFonts w:hint="eastAsia" w:ascii="仿宋" w:hAnsi="仿宋" w:eastAsia="仿宋" w:cs="仿宋"/>
                <w:sz w:val="24"/>
                <w:highlight w:val="none"/>
              </w:rPr>
              <w:t>，采购单位相同的只计算一分，未提供的不得分。</w:t>
            </w:r>
            <w:r>
              <w:rPr>
                <w:rFonts w:hint="eastAsia" w:ascii="仿宋" w:hAnsi="仿宋" w:eastAsia="仿宋" w:cs="仿宋"/>
                <w:sz w:val="24"/>
                <w:highlight w:val="none"/>
                <w:lang w:val="en-US" w:eastAsia="zh-CN"/>
              </w:rPr>
              <w:t>2-4与2-5同一个业绩合同不重复计分。</w:t>
            </w:r>
          </w:p>
        </w:tc>
      </w:tr>
      <w:tr w14:paraId="372674C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73" w:type="dxa"/>
            <w:vAlign w:val="center"/>
          </w:tcPr>
          <w:p w14:paraId="584040DE">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2-6</w:t>
            </w:r>
          </w:p>
        </w:tc>
        <w:tc>
          <w:tcPr>
            <w:tcW w:w="850" w:type="dxa"/>
            <w:shd w:val="clear" w:color="auto" w:fill="auto"/>
            <w:vAlign w:val="center"/>
          </w:tcPr>
          <w:p w14:paraId="65EE4545">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3</w:t>
            </w:r>
          </w:p>
        </w:tc>
        <w:tc>
          <w:tcPr>
            <w:tcW w:w="8124" w:type="dxa"/>
            <w:shd w:val="clear" w:color="auto" w:fill="auto"/>
            <w:vAlign w:val="center"/>
          </w:tcPr>
          <w:p w14:paraId="2089B052">
            <w:pPr>
              <w:pStyle w:val="31"/>
              <w:keepNext w:val="0"/>
              <w:keepLines w:val="0"/>
              <w:widowControl w:val="0"/>
              <w:numPr>
                <w:ilvl w:val="1"/>
                <w:numId w:val="0"/>
              </w:numPr>
              <w:suppressLineNumbers w:val="0"/>
              <w:tabs>
                <w:tab w:val="left" w:pos="993"/>
              </w:tabs>
              <w:snapToGrid w:val="0"/>
              <w:spacing w:before="0" w:beforeAutospacing="0" w:after="0" w:afterAutospacing="0" w:line="360" w:lineRule="auto"/>
              <w:ind w:left="0" w:leftChars="0" w:right="0" w:rightChars="0"/>
              <w:jc w:val="left"/>
              <w:rPr>
                <w:rFonts w:hint="eastAsia" w:ascii="仿宋" w:hAnsi="仿宋" w:eastAsia="仿宋" w:cs="仿宋"/>
                <w:sz w:val="24"/>
                <w:highlight w:val="none"/>
              </w:rPr>
            </w:pPr>
            <w:r>
              <w:rPr>
                <w:rFonts w:hint="eastAsia" w:ascii="仿宋" w:hAnsi="仿宋" w:eastAsia="仿宋" w:cs="仿宋"/>
                <w:kern w:val="0"/>
                <w:sz w:val="24"/>
                <w:highlight w:val="none"/>
                <w:lang w:val="en-US" w:eastAsia="zh-CN"/>
              </w:rPr>
              <w:t>供应商书面承诺：</w:t>
            </w:r>
            <w:r>
              <w:rPr>
                <w:rFonts w:hint="eastAsia" w:ascii="仿宋" w:hAnsi="仿宋" w:eastAsia="仿宋" w:cs="仿宋"/>
                <w:sz w:val="24"/>
                <w:highlight w:val="none"/>
                <w:lang w:eastAsia="zh-CN"/>
              </w:rPr>
              <w:t>工程整体免费保修 24 个月；核心设备（水泵机组、变频控制系统、消毒设备）质保期不少于3年，</w:t>
            </w:r>
            <w:r>
              <w:rPr>
                <w:rFonts w:hint="eastAsia" w:ascii="仿宋" w:hAnsi="仿宋" w:eastAsia="仿宋" w:cs="仿宋"/>
                <w:sz w:val="24"/>
                <w:highlight w:val="none"/>
              </w:rPr>
              <w:t>本项目涉及的装修修补工程保修期均为</w:t>
            </w:r>
            <w:r>
              <w:rPr>
                <w:rFonts w:hint="default" w:ascii="仿宋" w:hAnsi="仿宋" w:eastAsia="仿宋" w:cs="仿宋"/>
                <w:sz w:val="24"/>
                <w:highlight w:val="none"/>
                <w:lang w:val="en-US"/>
              </w:rPr>
              <w:t>24个月</w:t>
            </w:r>
            <w:r>
              <w:rPr>
                <w:rFonts w:hint="eastAsia" w:ascii="仿宋" w:hAnsi="仿宋" w:eastAsia="仿宋" w:cs="仿宋"/>
                <w:sz w:val="24"/>
                <w:highlight w:val="none"/>
              </w:rPr>
              <w:t>；保修范围仅限本次改造的施工内容及配套材料设备，保修期从工程竣工验收合格之日起算。质保范围包含所有改造内容，包括但不限于</w:t>
            </w:r>
            <w:r>
              <w:rPr>
                <w:rFonts w:hint="eastAsia" w:ascii="仿宋" w:hAnsi="仿宋" w:eastAsia="仿宋" w:cs="仿宋"/>
                <w:sz w:val="24"/>
                <w:highlight w:val="none"/>
                <w:lang w:eastAsia="zh-CN"/>
              </w:rPr>
              <w:t>不锈钢板衬垫防渗性能</w:t>
            </w:r>
            <w:r>
              <w:rPr>
                <w:rFonts w:hint="eastAsia" w:ascii="仿宋" w:hAnsi="仿宋" w:eastAsia="仿宋" w:cs="仿宋"/>
                <w:sz w:val="24"/>
                <w:highlight w:val="none"/>
              </w:rPr>
              <w:t>、PVC</w:t>
            </w:r>
            <w:r>
              <w:rPr>
                <w:rFonts w:hint="eastAsia" w:ascii="仿宋" w:hAnsi="仿宋" w:eastAsia="仿宋" w:cs="仿宋"/>
                <w:sz w:val="24"/>
                <w:highlight w:val="none"/>
                <w:lang w:val="en-US" w:eastAsia="zh-CN"/>
              </w:rPr>
              <w:t>-U</w:t>
            </w:r>
            <w:r>
              <w:rPr>
                <w:rFonts w:hint="eastAsia" w:ascii="仿宋" w:hAnsi="仿宋" w:eastAsia="仿宋" w:cs="仿宋"/>
                <w:sz w:val="24"/>
                <w:highlight w:val="none"/>
              </w:rPr>
              <w:t>管及管件连接密封性、水泵及变频系统运行稳定性、消毒设备消毒效果、管道支架安装牢固性等，因施工或材料质量导致的问题均由供应商免费维修更换</w:t>
            </w:r>
            <w:r>
              <w:rPr>
                <w:rFonts w:hint="eastAsia" w:ascii="仿宋" w:hAnsi="仿宋" w:eastAsia="仿宋" w:cs="仿宋"/>
                <w:sz w:val="24"/>
                <w:highlight w:val="none"/>
                <w:lang w:eastAsia="zh-CN"/>
              </w:rPr>
              <w:t>。</w:t>
            </w:r>
            <w:r>
              <w:rPr>
                <w:rFonts w:hint="eastAsia" w:ascii="仿宋" w:hAnsi="仿宋" w:eastAsia="仿宋" w:cs="宋体"/>
                <w:kern w:val="0"/>
                <w:sz w:val="24"/>
                <w:szCs w:val="24"/>
                <w:highlight w:val="none"/>
                <w:lang w:val="en-US" w:eastAsia="zh-CN"/>
              </w:rPr>
              <w:t>提供书面承诺的得3分，否则不得分。</w:t>
            </w:r>
          </w:p>
        </w:tc>
      </w:tr>
      <w:tr w14:paraId="7CD188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73" w:type="dxa"/>
            <w:vAlign w:val="center"/>
          </w:tcPr>
          <w:p w14:paraId="3844E2EF">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2-7</w:t>
            </w:r>
          </w:p>
        </w:tc>
        <w:tc>
          <w:tcPr>
            <w:tcW w:w="850" w:type="dxa"/>
            <w:shd w:val="clear" w:color="auto" w:fill="auto"/>
            <w:vAlign w:val="center"/>
          </w:tcPr>
          <w:p w14:paraId="7CD41A19">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3</w:t>
            </w:r>
          </w:p>
        </w:tc>
        <w:tc>
          <w:tcPr>
            <w:tcW w:w="8124" w:type="dxa"/>
            <w:shd w:val="clear" w:color="auto" w:fill="auto"/>
            <w:vAlign w:val="center"/>
          </w:tcPr>
          <w:p w14:paraId="6D3FAD74">
            <w:pPr>
              <w:keepNext w:val="0"/>
              <w:keepLines w:val="0"/>
              <w:widowControl/>
              <w:suppressLineNumbers w:val="0"/>
              <w:tabs>
                <w:tab w:val="left" w:pos="1143"/>
              </w:tabs>
              <w:snapToGrid w:val="0"/>
              <w:spacing w:before="0" w:beforeAutospacing="0" w:after="0" w:afterAutospacing="0" w:line="360" w:lineRule="auto"/>
              <w:ind w:left="0" w:leftChars="0" w:right="0" w:rightChars="0"/>
              <w:jc w:val="left"/>
              <w:rPr>
                <w:rFonts w:hint="eastAsia" w:ascii="仿宋" w:hAnsi="仿宋" w:eastAsia="仿宋" w:cs="仿宋"/>
                <w:sz w:val="24"/>
                <w:highlight w:val="none"/>
                <w:lang w:eastAsia="zh-CN"/>
              </w:rPr>
            </w:pPr>
            <w:r>
              <w:rPr>
                <w:rFonts w:hint="eastAsia" w:ascii="仿宋" w:hAnsi="仿宋" w:eastAsia="仿宋" w:cs="仿宋"/>
                <w:kern w:val="0"/>
                <w:sz w:val="24"/>
                <w:highlight w:val="none"/>
                <w:lang w:val="en-US" w:eastAsia="zh-CN"/>
              </w:rPr>
              <w:t>供应商书面承诺：</w:t>
            </w:r>
            <w:r>
              <w:rPr>
                <w:rFonts w:hint="eastAsia" w:ascii="仿宋" w:hAnsi="仿宋" w:eastAsia="仿宋" w:cs="仿宋"/>
                <w:sz w:val="24"/>
                <w:highlight w:val="none"/>
              </w:rPr>
              <w:t>本项目竣工验收前，须委托具有CMA/CNAS 资质的第三方检测机构对项目供水水质进行检测，检测项目须符合《生活饮用水卫生标准》GB 5749 要求，并出具水质检测合格报告。若水质检测不合格，供应商应无条件无偿整改至水质合格为止，由此产生的一切费用及责任由供应商自行承担</w:t>
            </w:r>
            <w:r>
              <w:rPr>
                <w:rFonts w:hint="eastAsia" w:ascii="仿宋" w:hAnsi="仿宋" w:eastAsia="仿宋" w:cs="仿宋"/>
                <w:sz w:val="24"/>
                <w:highlight w:val="none"/>
                <w:lang w:eastAsia="zh-CN"/>
              </w:rPr>
              <w:t>。</w:t>
            </w:r>
            <w:r>
              <w:rPr>
                <w:rFonts w:hint="eastAsia" w:ascii="仿宋" w:hAnsi="仿宋" w:eastAsia="仿宋" w:cs="宋体"/>
                <w:kern w:val="0"/>
                <w:sz w:val="24"/>
                <w:szCs w:val="24"/>
                <w:highlight w:val="none"/>
                <w:lang w:val="en-US" w:eastAsia="zh-CN"/>
              </w:rPr>
              <w:t>提供书面承诺的得3分，否则不得分。</w:t>
            </w:r>
          </w:p>
        </w:tc>
      </w:tr>
    </w:tbl>
    <w:p w14:paraId="668522F6">
      <w:pPr>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异常低价审查</w:t>
      </w:r>
    </w:p>
    <w:tbl>
      <w:tblPr>
        <w:tblStyle w:val="18"/>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918"/>
        <w:gridCol w:w="7880"/>
      </w:tblGrid>
      <w:tr w14:paraId="0947F8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8" w:type="dxa"/>
            <w:vAlign w:val="center"/>
          </w:tcPr>
          <w:p w14:paraId="028ED097">
            <w:pPr>
              <w:pStyle w:val="30"/>
              <w:spacing w:line="360" w:lineRule="auto"/>
              <w:jc w:val="center"/>
              <w:rPr>
                <w:rFonts w:ascii="仿宋" w:hAnsi="仿宋" w:eastAsia="仿宋" w:cs="仿宋"/>
                <w:sz w:val="24"/>
                <w:szCs w:val="24"/>
                <w:highlight w:val="none"/>
              </w:rPr>
            </w:pPr>
            <w:r>
              <w:rPr>
                <w:rFonts w:ascii="仿宋" w:hAnsi="仿宋" w:eastAsia="仿宋" w:cs="仿宋"/>
                <w:sz w:val="24"/>
                <w:szCs w:val="24"/>
                <w:highlight w:val="none"/>
              </w:rPr>
              <w:t>项目</w:t>
            </w:r>
          </w:p>
        </w:tc>
        <w:tc>
          <w:tcPr>
            <w:tcW w:w="7880" w:type="dxa"/>
            <w:vAlign w:val="center"/>
          </w:tcPr>
          <w:p w14:paraId="79021FE6">
            <w:pPr>
              <w:pStyle w:val="30"/>
              <w:spacing w:line="360" w:lineRule="auto"/>
              <w:jc w:val="center"/>
              <w:rPr>
                <w:rFonts w:ascii="仿宋" w:hAnsi="仿宋" w:eastAsia="仿宋" w:cs="仿宋"/>
                <w:sz w:val="24"/>
                <w:szCs w:val="24"/>
                <w:highlight w:val="none"/>
              </w:rPr>
            </w:pPr>
            <w:r>
              <w:rPr>
                <w:rFonts w:ascii="仿宋" w:hAnsi="仿宋" w:eastAsia="仿宋" w:cs="仿宋"/>
                <w:sz w:val="24"/>
                <w:szCs w:val="24"/>
                <w:highlight w:val="none"/>
              </w:rPr>
              <w:t>描述</w:t>
            </w:r>
          </w:p>
        </w:tc>
      </w:tr>
      <w:tr w14:paraId="7D5E51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8" w:type="dxa"/>
            <w:vAlign w:val="center"/>
          </w:tcPr>
          <w:p w14:paraId="0DFDCC2F">
            <w:pPr>
              <w:pStyle w:val="30"/>
              <w:spacing w:line="360" w:lineRule="auto"/>
              <w:jc w:val="center"/>
              <w:rPr>
                <w:rFonts w:ascii="仿宋" w:hAnsi="仿宋" w:eastAsia="仿宋" w:cs="仿宋"/>
                <w:sz w:val="24"/>
                <w:szCs w:val="24"/>
                <w:highlight w:val="none"/>
              </w:rPr>
            </w:pPr>
            <w:r>
              <w:rPr>
                <w:rFonts w:ascii="仿宋" w:hAnsi="仿宋" w:eastAsia="仿宋" w:cs="仿宋"/>
                <w:sz w:val="24"/>
                <w:szCs w:val="24"/>
                <w:highlight w:val="none"/>
              </w:rPr>
              <w:t>异常低价审查</w:t>
            </w:r>
          </w:p>
        </w:tc>
        <w:tc>
          <w:tcPr>
            <w:tcW w:w="7880" w:type="dxa"/>
          </w:tcPr>
          <w:p w14:paraId="5E13197B">
            <w:pPr>
              <w:pStyle w:val="30"/>
              <w:spacing w:line="360" w:lineRule="auto"/>
              <w:jc w:val="left"/>
              <w:rPr>
                <w:rFonts w:ascii="仿宋" w:hAnsi="仿宋" w:eastAsia="仿宋" w:cs="仿宋"/>
                <w:sz w:val="24"/>
                <w:szCs w:val="24"/>
                <w:highlight w:val="none"/>
              </w:rPr>
            </w:pPr>
            <w:r>
              <w:rPr>
                <w:rFonts w:ascii="仿宋" w:hAnsi="仿宋" w:eastAsia="仿宋" w:cs="仿宋"/>
                <w:sz w:val="24"/>
                <w:szCs w:val="24"/>
                <w:highlight w:val="none"/>
              </w:rPr>
              <w:t xml:space="preserve">根据《财政部关于推动解决政府采购异常低价问题的通知》（财库〔2026〕2号），结合本项目（采购包）实际情况，政府采购评审中出现下列情形之一的，评审委员会应当启动异常低价投标（响应）审查程序： </w:t>
            </w:r>
          </w:p>
          <w:p w14:paraId="204E04B8">
            <w:pPr>
              <w:pStyle w:val="30"/>
              <w:numPr>
                <w:ilvl w:val="0"/>
                <w:numId w:val="1"/>
              </w:numPr>
              <w:spacing w:line="360" w:lineRule="auto"/>
              <w:jc w:val="left"/>
              <w:rPr>
                <w:rFonts w:ascii="仿宋" w:hAnsi="仿宋" w:eastAsia="仿宋" w:cs="仿宋"/>
                <w:sz w:val="24"/>
                <w:szCs w:val="24"/>
                <w:highlight w:val="none"/>
              </w:rPr>
            </w:pPr>
            <w:r>
              <w:rPr>
                <w:rFonts w:ascii="仿宋" w:hAnsi="仿宋" w:eastAsia="仿宋" w:cs="仿宋"/>
                <w:sz w:val="24"/>
                <w:szCs w:val="24"/>
                <w:highlight w:val="none"/>
              </w:rPr>
              <w:t>合计</w:t>
            </w:r>
            <w:r>
              <w:rPr>
                <w:rFonts w:hint="eastAsia" w:ascii="仿宋" w:hAnsi="仿宋" w:eastAsia="仿宋" w:cs="仿宋"/>
                <w:sz w:val="24"/>
                <w:szCs w:val="24"/>
                <w:highlight w:val="none"/>
                <w:lang w:eastAsia="zh-CN"/>
              </w:rPr>
              <w:t>响应报价</w:t>
            </w:r>
            <w:r>
              <w:rPr>
                <w:rFonts w:ascii="仿宋" w:hAnsi="仿宋" w:eastAsia="仿宋" w:cs="仿宋"/>
                <w:sz w:val="24"/>
                <w:szCs w:val="24"/>
                <w:highlight w:val="none"/>
              </w:rPr>
              <w:t>低于全部通过符合性审查供应商响应报价平均值50%的，即合计</w:t>
            </w:r>
            <w:r>
              <w:rPr>
                <w:rFonts w:hint="eastAsia" w:ascii="仿宋" w:hAnsi="仿宋" w:eastAsia="仿宋" w:cs="仿宋"/>
                <w:sz w:val="24"/>
                <w:szCs w:val="24"/>
                <w:highlight w:val="none"/>
                <w:lang w:eastAsia="zh-CN"/>
              </w:rPr>
              <w:t>响应报价</w:t>
            </w:r>
            <w:r>
              <w:rPr>
                <w:rFonts w:ascii="仿宋" w:hAnsi="仿宋" w:eastAsia="仿宋" w:cs="仿宋"/>
                <w:sz w:val="24"/>
                <w:szCs w:val="24"/>
                <w:highlight w:val="none"/>
              </w:rPr>
              <w:t xml:space="preserve">&lt;全部通过符合性审查供应商响应报价平均值×50%。 </w:t>
            </w:r>
          </w:p>
          <w:p w14:paraId="19642A1F">
            <w:pPr>
              <w:pStyle w:val="30"/>
              <w:numPr>
                <w:ilvl w:val="0"/>
                <w:numId w:val="1"/>
              </w:numPr>
              <w:spacing w:line="360" w:lineRule="auto"/>
              <w:jc w:val="left"/>
              <w:rPr>
                <w:rFonts w:ascii="仿宋" w:hAnsi="仿宋" w:eastAsia="仿宋" w:cs="仿宋"/>
                <w:sz w:val="24"/>
                <w:szCs w:val="24"/>
                <w:highlight w:val="none"/>
              </w:rPr>
            </w:pPr>
            <w:r>
              <w:rPr>
                <w:rFonts w:ascii="仿宋" w:hAnsi="仿宋" w:eastAsia="仿宋" w:cs="仿宋"/>
                <w:sz w:val="24"/>
                <w:szCs w:val="24"/>
                <w:highlight w:val="none"/>
              </w:rPr>
              <w:t>合计</w:t>
            </w:r>
            <w:r>
              <w:rPr>
                <w:rFonts w:hint="eastAsia" w:ascii="仿宋" w:hAnsi="仿宋" w:eastAsia="仿宋" w:cs="仿宋"/>
                <w:sz w:val="24"/>
                <w:szCs w:val="24"/>
                <w:highlight w:val="none"/>
                <w:lang w:eastAsia="zh-CN"/>
              </w:rPr>
              <w:t>响应报价</w:t>
            </w:r>
            <w:r>
              <w:rPr>
                <w:rFonts w:ascii="仿宋" w:hAnsi="仿宋" w:eastAsia="仿宋" w:cs="仿宋"/>
                <w:sz w:val="24"/>
                <w:szCs w:val="24"/>
                <w:highlight w:val="none"/>
              </w:rPr>
              <w:t>低于通过符合性审查次低报价供应商响应报价50%的，即合计</w:t>
            </w:r>
            <w:r>
              <w:rPr>
                <w:rFonts w:hint="eastAsia" w:ascii="仿宋" w:hAnsi="仿宋" w:eastAsia="仿宋" w:cs="仿宋"/>
                <w:sz w:val="24"/>
                <w:szCs w:val="24"/>
                <w:highlight w:val="none"/>
                <w:lang w:eastAsia="zh-CN"/>
              </w:rPr>
              <w:t>响应报价</w:t>
            </w:r>
            <w:r>
              <w:rPr>
                <w:rFonts w:ascii="仿宋" w:hAnsi="仿宋" w:eastAsia="仿宋" w:cs="仿宋"/>
                <w:sz w:val="24"/>
                <w:szCs w:val="24"/>
                <w:highlight w:val="none"/>
              </w:rPr>
              <w:t xml:space="preserve">&lt;通过符合性审查次低报价供应商响应报价×50%。 </w:t>
            </w:r>
          </w:p>
          <w:p w14:paraId="00F00A44">
            <w:pPr>
              <w:pStyle w:val="30"/>
              <w:numPr>
                <w:ilvl w:val="0"/>
                <w:numId w:val="1"/>
              </w:numPr>
              <w:spacing w:line="360" w:lineRule="auto"/>
              <w:jc w:val="left"/>
              <w:rPr>
                <w:rFonts w:ascii="仿宋" w:hAnsi="仿宋" w:eastAsia="仿宋" w:cs="仿宋"/>
                <w:sz w:val="24"/>
                <w:szCs w:val="24"/>
                <w:highlight w:val="none"/>
              </w:rPr>
            </w:pPr>
            <w:r>
              <w:rPr>
                <w:rFonts w:ascii="仿宋" w:hAnsi="仿宋" w:eastAsia="仿宋" w:cs="仿宋"/>
                <w:sz w:val="24"/>
                <w:szCs w:val="24"/>
                <w:highlight w:val="none"/>
              </w:rPr>
              <w:t>合计</w:t>
            </w:r>
            <w:r>
              <w:rPr>
                <w:rFonts w:hint="eastAsia" w:ascii="仿宋" w:hAnsi="仿宋" w:eastAsia="仿宋" w:cs="仿宋"/>
                <w:sz w:val="24"/>
                <w:szCs w:val="24"/>
                <w:highlight w:val="none"/>
                <w:lang w:eastAsia="zh-CN"/>
              </w:rPr>
              <w:t>响应报价</w:t>
            </w:r>
            <w:r>
              <w:rPr>
                <w:rFonts w:ascii="仿宋" w:hAnsi="仿宋" w:eastAsia="仿宋" w:cs="仿宋"/>
                <w:sz w:val="24"/>
                <w:szCs w:val="24"/>
                <w:highlight w:val="none"/>
              </w:rPr>
              <w:t>低于最高限价45%的，即合计</w:t>
            </w:r>
            <w:r>
              <w:rPr>
                <w:rFonts w:hint="eastAsia" w:ascii="仿宋" w:hAnsi="仿宋" w:eastAsia="仿宋" w:cs="仿宋"/>
                <w:sz w:val="24"/>
                <w:szCs w:val="24"/>
                <w:highlight w:val="none"/>
                <w:lang w:eastAsia="zh-CN"/>
              </w:rPr>
              <w:t>响应报价</w:t>
            </w:r>
            <w:r>
              <w:rPr>
                <w:rFonts w:ascii="仿宋" w:hAnsi="仿宋" w:eastAsia="仿宋" w:cs="仿宋"/>
                <w:sz w:val="24"/>
                <w:szCs w:val="24"/>
                <w:highlight w:val="none"/>
              </w:rPr>
              <w:t xml:space="preserve">&lt;最高限价×45%。 </w:t>
            </w:r>
          </w:p>
          <w:p w14:paraId="62E12429">
            <w:pPr>
              <w:pStyle w:val="30"/>
              <w:numPr>
                <w:ilvl w:val="-1"/>
                <w:numId w:val="0"/>
              </w:numPr>
              <w:spacing w:line="360" w:lineRule="auto"/>
              <w:jc w:val="left"/>
              <w:rPr>
                <w:rFonts w:ascii="仿宋" w:hAnsi="仿宋" w:eastAsia="仿宋" w:cs="仿宋"/>
                <w:sz w:val="24"/>
                <w:szCs w:val="24"/>
                <w:highlight w:val="none"/>
              </w:rPr>
            </w:pPr>
            <w:r>
              <w:rPr>
                <w:rFonts w:ascii="仿宋" w:hAnsi="仿宋" w:eastAsia="仿宋" w:cs="仿宋"/>
                <w:sz w:val="24"/>
                <w:szCs w:val="24"/>
                <w:highlight w:val="none"/>
              </w:rPr>
              <w:t>（4）评审委员会基于专业判断，认为供应商报价过低，有可能影响产品质量或者不能诚信履约的其他情形。评审委员会启动异常低价投标（响应）审查后，应当要求相关供应商在评审现场合理的时间内提供书面说明及必要的证明材料，对投标（响应）价格作出解释。</w:t>
            </w:r>
          </w:p>
        </w:tc>
      </w:tr>
    </w:tbl>
    <w:p w14:paraId="7F9DE1FA">
      <w:pPr>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B3C715D">
      <w:pPr>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300C2B8">
      <w:pPr>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A833F89">
      <w:pPr>
        <w:widowControl/>
        <w:spacing w:line="360" w:lineRule="auto"/>
        <w:ind w:firstLine="480" w:firstLineChars="200"/>
        <w:jc w:val="left"/>
        <w:rPr>
          <w:rFonts w:hint="eastAsia" w:ascii="仿宋" w:hAnsi="仿宋" w:eastAsia="仿宋" w:cs="仿宋"/>
          <w:kern w:val="0"/>
          <w:sz w:val="24"/>
          <w:highlight w:val="none"/>
          <w:lang w:eastAsia="zh-CN"/>
        </w:rPr>
      </w:pPr>
      <w:r>
        <w:rPr>
          <w:rFonts w:hint="eastAsia" w:ascii="仿宋" w:hAnsi="仿宋" w:eastAsia="仿宋" w:cs="仿宋"/>
          <w:kern w:val="0"/>
          <w:sz w:val="24"/>
          <w:highlight w:val="none"/>
        </w:rPr>
        <w:t>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kern w:val="0"/>
          <w:sz w:val="24"/>
          <w:highlight w:val="none"/>
          <w:lang w:eastAsia="zh-CN"/>
        </w:rPr>
        <w:t>。</w:t>
      </w:r>
    </w:p>
    <w:p w14:paraId="165C2F0D">
      <w:pPr>
        <w:widowControl/>
        <w:spacing w:line="360" w:lineRule="auto"/>
        <w:ind w:firstLine="480" w:firstLineChars="200"/>
        <w:jc w:val="left"/>
        <w:rPr>
          <w:rFonts w:hint="eastAsia" w:ascii="仿宋" w:hAnsi="仿宋" w:eastAsia="仿宋" w:cs="宋体"/>
          <w:kern w:val="0"/>
          <w:sz w:val="24"/>
          <w:highlight w:val="none"/>
        </w:rPr>
      </w:pPr>
      <w:r>
        <w:rPr>
          <w:rFonts w:hint="eastAsia" w:ascii="仿宋" w:hAnsi="仿宋" w:eastAsia="仿宋" w:cs="宋体"/>
          <w:kern w:val="0"/>
          <w:sz w:val="24"/>
          <w:highlight w:val="none"/>
        </w:rPr>
        <w:t>（4）成交候选供应商排列规则顺序和并列相同时的处理约定如下：</w:t>
      </w:r>
    </w:p>
    <w:p w14:paraId="1EBFB245">
      <w:pPr>
        <w:widowControl/>
        <w:spacing w:line="360" w:lineRule="auto"/>
        <w:ind w:firstLine="480" w:firstLineChars="200"/>
        <w:jc w:val="left"/>
        <w:rPr>
          <w:rFonts w:hint="eastAsia" w:ascii="仿宋" w:hAnsi="仿宋" w:eastAsia="仿宋" w:cs="宋体"/>
          <w:kern w:val="0"/>
          <w:sz w:val="24"/>
          <w:highlight w:val="none"/>
        </w:rPr>
      </w:pPr>
      <w:r>
        <w:rPr>
          <w:rFonts w:hint="eastAsia" w:ascii="仿宋" w:hAnsi="仿宋" w:eastAsia="仿宋" w:cs="宋体"/>
          <w:kern w:val="0"/>
          <w:sz w:val="24"/>
          <w:highlight w:val="none"/>
        </w:rPr>
        <w:t>a.成交候选供应商按照综合评审总得分（FA）由高到低</w:t>
      </w:r>
      <w:r>
        <w:rPr>
          <w:rFonts w:hint="eastAsia" w:ascii="仿宋" w:hAnsi="仿宋" w:eastAsia="仿宋" w:cs="宋体"/>
          <w:kern w:val="0"/>
          <w:sz w:val="24"/>
          <w:highlight w:val="none"/>
          <w:lang w:eastAsia="zh-CN"/>
        </w:rPr>
        <w:t>的</w:t>
      </w:r>
      <w:r>
        <w:rPr>
          <w:rFonts w:hint="eastAsia" w:ascii="仿宋" w:hAnsi="仿宋" w:eastAsia="仿宋" w:cs="宋体"/>
          <w:kern w:val="0"/>
          <w:sz w:val="24"/>
          <w:highlight w:val="none"/>
        </w:rPr>
        <w:t>顺序排列推荐。</w:t>
      </w:r>
    </w:p>
    <w:p w14:paraId="0E05B9F2">
      <w:pPr>
        <w:widowControl/>
        <w:spacing w:line="360" w:lineRule="auto"/>
        <w:ind w:firstLine="480" w:firstLineChars="200"/>
        <w:jc w:val="left"/>
        <w:rPr>
          <w:rFonts w:hint="eastAsia" w:ascii="仿宋" w:hAnsi="仿宋" w:eastAsia="仿宋" w:cs="宋体"/>
          <w:kern w:val="0"/>
          <w:sz w:val="24"/>
          <w:highlight w:val="none"/>
        </w:rPr>
      </w:pPr>
      <w:r>
        <w:rPr>
          <w:rFonts w:hint="eastAsia" w:ascii="仿宋" w:hAnsi="仿宋" w:eastAsia="仿宋" w:cs="宋体"/>
          <w:kern w:val="0"/>
          <w:sz w:val="24"/>
          <w:highlight w:val="none"/>
        </w:rPr>
        <w:t>b.综合评审总得分（FA）相同的，按照经评审最后磋商报价（即经政府采购优惠政策进行价格扣除后的最后报价）由低到高</w:t>
      </w:r>
      <w:r>
        <w:rPr>
          <w:rFonts w:hint="eastAsia" w:ascii="仿宋" w:hAnsi="仿宋" w:eastAsia="仿宋" w:cs="宋体"/>
          <w:kern w:val="0"/>
          <w:sz w:val="24"/>
          <w:highlight w:val="none"/>
          <w:lang w:eastAsia="zh-CN"/>
        </w:rPr>
        <w:t>的</w:t>
      </w:r>
      <w:r>
        <w:rPr>
          <w:rFonts w:hint="eastAsia" w:ascii="仿宋" w:hAnsi="仿宋" w:eastAsia="仿宋" w:cs="宋体"/>
          <w:kern w:val="0"/>
          <w:sz w:val="24"/>
          <w:highlight w:val="none"/>
        </w:rPr>
        <w:t>顺序排列推荐。</w:t>
      </w:r>
    </w:p>
    <w:p w14:paraId="05D4CD71">
      <w:pPr>
        <w:widowControl/>
        <w:spacing w:line="360" w:lineRule="auto"/>
        <w:ind w:firstLine="480" w:firstLineChars="200"/>
        <w:jc w:val="left"/>
        <w:rPr>
          <w:rFonts w:hint="eastAsia" w:ascii="仿宋" w:hAnsi="仿宋" w:eastAsia="仿宋" w:cs="宋体"/>
          <w:kern w:val="0"/>
          <w:sz w:val="24"/>
          <w:highlight w:val="none"/>
        </w:rPr>
      </w:pPr>
      <w:r>
        <w:rPr>
          <w:rFonts w:hint="eastAsia" w:ascii="仿宋" w:hAnsi="仿宋" w:eastAsia="仿宋" w:cs="宋体"/>
          <w:kern w:val="0"/>
          <w:sz w:val="24"/>
          <w:highlight w:val="none"/>
        </w:rPr>
        <w:t>c.综合评审总得分（FA）且经评审最后磋商报价（即经政府采购优惠政策进行价格扣除后的最后报价）仍然相同的，按照</w:t>
      </w:r>
      <w:r>
        <w:rPr>
          <w:rFonts w:hint="eastAsia" w:ascii="仿宋" w:hAnsi="仿宋" w:eastAsia="仿宋" w:cs="仿宋"/>
          <w:kern w:val="0"/>
          <w:sz w:val="24"/>
          <w:szCs w:val="24"/>
          <w:highlight w:val="none"/>
        </w:rPr>
        <w:t>技术部分得分由高到低</w:t>
      </w:r>
      <w:r>
        <w:rPr>
          <w:rFonts w:hint="eastAsia" w:ascii="仿宋" w:hAnsi="仿宋" w:eastAsia="仿宋" w:cs="仿宋"/>
          <w:kern w:val="0"/>
          <w:sz w:val="24"/>
          <w:szCs w:val="24"/>
          <w:highlight w:val="none"/>
          <w:lang w:eastAsia="zh-CN"/>
        </w:rPr>
        <w:t>的</w:t>
      </w:r>
      <w:r>
        <w:rPr>
          <w:rFonts w:hint="eastAsia" w:ascii="仿宋" w:hAnsi="仿宋" w:eastAsia="仿宋" w:cs="宋体"/>
          <w:kern w:val="0"/>
          <w:sz w:val="24"/>
          <w:highlight w:val="none"/>
        </w:rPr>
        <w:t>顺序排列推荐。</w:t>
      </w:r>
    </w:p>
    <w:p w14:paraId="350D5CA9">
      <w:pPr>
        <w:widowControl/>
        <w:spacing w:line="360" w:lineRule="auto"/>
        <w:ind w:firstLine="480" w:firstLineChars="200"/>
        <w:jc w:val="left"/>
        <w:rPr>
          <w:rFonts w:hint="eastAsia" w:ascii="仿宋" w:hAnsi="仿宋" w:eastAsia="仿宋" w:cs="宋体"/>
          <w:kern w:val="0"/>
          <w:sz w:val="24"/>
          <w:highlight w:val="none"/>
        </w:rPr>
      </w:pPr>
      <w:r>
        <w:rPr>
          <w:rFonts w:hint="eastAsia" w:ascii="仿宋" w:hAnsi="仿宋" w:eastAsia="仿宋" w:cs="宋体"/>
          <w:kern w:val="0"/>
          <w:sz w:val="24"/>
          <w:highlight w:val="none"/>
        </w:rPr>
        <w:t>d.经前述顺序处理仍然并列相同的，则通过随机抽取方式确定优先顺序推荐。</w:t>
      </w:r>
    </w:p>
    <w:p w14:paraId="5FF56234">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8" w:name="_Toc12022"/>
      <w:r>
        <w:rPr>
          <w:rFonts w:hint="eastAsia" w:ascii="仿宋" w:hAnsi="仿宋" w:eastAsia="仿宋" w:cs="仿宋"/>
          <w:b/>
          <w:bCs/>
          <w:sz w:val="28"/>
          <w:szCs w:val="32"/>
          <w:highlight w:val="none"/>
        </w:rPr>
        <w:t>四、评审报告</w:t>
      </w:r>
      <w:bookmarkEnd w:id="8"/>
    </w:p>
    <w:p w14:paraId="1D1A361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4.1磋商小组完成评审后，应当编写评审报告并提交给采购人。</w:t>
      </w:r>
    </w:p>
    <w:p w14:paraId="65CF4C3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4.2评审报告应当包括以下主要内容：</w:t>
      </w:r>
    </w:p>
    <w:p w14:paraId="748B6C0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（一）邀请供应商参加采购活动的具体方式和相关情况；</w:t>
      </w:r>
    </w:p>
    <w:p w14:paraId="395C051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（二）响应文件开启日期和地点；</w:t>
      </w:r>
    </w:p>
    <w:p w14:paraId="1C84B51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（三）获取磋商文件的供应商名单和磋商小组成员名单；</w:t>
      </w:r>
    </w:p>
    <w:p w14:paraId="624C3B2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（四）评审情况记录和说明，包括对供应商的资格审查情况、供应商响应文件评审情况、磋商情况、报价情况等；</w:t>
      </w:r>
    </w:p>
    <w:p w14:paraId="3F52BB9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（五）提出的成交候选供应商的排序名单及理由。</w:t>
      </w:r>
    </w:p>
    <w:p w14:paraId="433C8B9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4.3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131026F">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9" w:name="_Toc22266"/>
      <w:r>
        <w:rPr>
          <w:rFonts w:hint="eastAsia" w:ascii="仿宋" w:hAnsi="仿宋" w:eastAsia="仿宋" w:cs="仿宋"/>
          <w:b/>
          <w:bCs/>
          <w:sz w:val="28"/>
          <w:szCs w:val="32"/>
          <w:highlight w:val="none"/>
        </w:rPr>
        <w:t>五、其他规定</w:t>
      </w:r>
      <w:bookmarkEnd w:id="9"/>
    </w:p>
    <w:p w14:paraId="19441E7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5.1其他规定</w:t>
      </w:r>
    </w:p>
    <w:p w14:paraId="5DAE87D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5.1.1评审应全程保密且不得透露给任一供应商或与评审工作无关的人员。</w:t>
      </w:r>
    </w:p>
    <w:p w14:paraId="7DFA115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5.1.2评审将进行全程实时录音录像，录音录像资料随采购文件一并存档。</w:t>
      </w:r>
    </w:p>
    <w:p w14:paraId="09BED1B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5.1.3若供应商有任何试图干扰具体评审事务，影响磋商小组独立履行职责的行为，其响应无效且不予退还磋商保证金。情节严重的，由财政部门列入不良行为记录。</w:t>
      </w:r>
    </w:p>
    <w:p w14:paraId="492069A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5.1.4根据采购项目的特点和需要，需要加以详细说明的其他磋商程序规定、要求等内容</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详见竞争性磋商须知前附表第</w:t>
      </w:r>
      <w:r>
        <w:rPr>
          <w:rFonts w:hint="eastAsia" w:ascii="仿宋" w:hAnsi="仿宋" w:eastAsia="仿宋" w:cs="仿宋"/>
          <w:kern w:val="0"/>
          <w:sz w:val="24"/>
          <w:highlight w:val="none"/>
          <w:u w:val="single"/>
          <w:lang w:val="en-US" w:eastAsia="zh-CN"/>
        </w:rPr>
        <w:t>10</w:t>
      </w:r>
      <w:r>
        <w:rPr>
          <w:rFonts w:hint="eastAsia" w:ascii="仿宋" w:hAnsi="仿宋" w:eastAsia="仿宋" w:cs="仿宋"/>
          <w:kern w:val="0"/>
          <w:sz w:val="24"/>
          <w:highlight w:val="none"/>
        </w:rPr>
        <w:t>项。</w:t>
      </w:r>
    </w:p>
    <w:p w14:paraId="52B80993">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10" w:name="_Toc25432"/>
      <w:r>
        <w:rPr>
          <w:rFonts w:hint="eastAsia" w:ascii="仿宋" w:hAnsi="仿宋" w:eastAsia="仿宋" w:cs="仿宋"/>
          <w:b/>
          <w:bCs/>
          <w:sz w:val="28"/>
          <w:szCs w:val="32"/>
          <w:highlight w:val="none"/>
        </w:rPr>
        <w:t>第</w:t>
      </w:r>
      <w:r>
        <w:rPr>
          <w:rFonts w:hint="eastAsia" w:ascii="仿宋" w:hAnsi="仿宋" w:eastAsia="仿宋" w:cs="仿宋"/>
          <w:b/>
          <w:bCs/>
          <w:sz w:val="28"/>
          <w:szCs w:val="32"/>
          <w:highlight w:val="none"/>
          <w:lang w:val="en-US" w:eastAsia="zh-CN"/>
        </w:rPr>
        <w:t>3</w:t>
      </w:r>
      <w:r>
        <w:rPr>
          <w:rFonts w:hint="eastAsia" w:ascii="仿宋" w:hAnsi="仿宋" w:eastAsia="仿宋" w:cs="仿宋"/>
          <w:b/>
          <w:bCs/>
          <w:sz w:val="28"/>
          <w:szCs w:val="32"/>
          <w:highlight w:val="none"/>
        </w:rPr>
        <w:t>节  竞争性磋商须知</w:t>
      </w:r>
      <w:bookmarkEnd w:id="10"/>
    </w:p>
    <w:p w14:paraId="381A5E28">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11" w:name="_Toc2035"/>
      <w:r>
        <w:rPr>
          <w:rFonts w:hint="eastAsia" w:ascii="仿宋" w:hAnsi="仿宋" w:eastAsia="仿宋" w:cs="仿宋"/>
          <w:b/>
          <w:bCs/>
          <w:sz w:val="28"/>
          <w:szCs w:val="32"/>
          <w:highlight w:val="none"/>
        </w:rPr>
        <w:t>一、总则</w:t>
      </w:r>
      <w:bookmarkEnd w:id="11"/>
    </w:p>
    <w:p w14:paraId="08398D7A">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1.适用范围：</w:t>
      </w:r>
    </w:p>
    <w:p w14:paraId="7AC0B6A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1.1</w:t>
      </w:r>
      <w:r>
        <w:rPr>
          <w:rFonts w:hint="eastAsia" w:ascii="仿宋" w:hAnsi="仿宋" w:eastAsia="仿宋" w:cs="仿宋"/>
          <w:sz w:val="24"/>
          <w:highlight w:val="none"/>
        </w:rPr>
        <w:t>为明确采购流程及参与各方的权利和义务，参考政府采购法律法规开展自行采购活动</w:t>
      </w:r>
      <w:r>
        <w:rPr>
          <w:rFonts w:hint="eastAsia" w:ascii="仿宋" w:hAnsi="仿宋" w:eastAsia="仿宋" w:cs="仿宋"/>
          <w:sz w:val="24"/>
          <w:highlight w:val="none"/>
          <w:lang w:eastAsia="zh-CN"/>
        </w:rPr>
        <w:t>，</w:t>
      </w:r>
      <w:r>
        <w:rPr>
          <w:rFonts w:hint="eastAsia" w:ascii="仿宋" w:hAnsi="仿宋" w:eastAsia="仿宋" w:cs="仿宋"/>
          <w:kern w:val="0"/>
          <w:sz w:val="24"/>
          <w:highlight w:val="none"/>
        </w:rPr>
        <w:t>适用于磋商文件载明项目的采购活动（以下简称：“本次采购活动”）。</w:t>
      </w:r>
    </w:p>
    <w:p w14:paraId="6325507C">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2.定义及要求：</w:t>
      </w:r>
    </w:p>
    <w:p w14:paraId="45CBE30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2.1“采购标的”指磋商文件载明的需要采购的货物、服务、工程。</w:t>
      </w:r>
    </w:p>
    <w:p w14:paraId="0BA2D04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2.2“采购人”指本次采购项目的买方、或业主方、或甲方，具体见磋商文件第一章；“采购代理机构”系指接受采购人委托，组织开展竞争性磋商采购活动的代理机构，具体见磋商文件第一章。</w:t>
      </w:r>
    </w:p>
    <w:p w14:paraId="0A39712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2.3“潜在供应商”按照磋商文件第一章规定进行</w:t>
      </w:r>
      <w:r>
        <w:rPr>
          <w:rFonts w:hint="eastAsia" w:ascii="仿宋" w:hAnsi="仿宋" w:eastAsia="仿宋" w:cs="仿宋"/>
          <w:kern w:val="0"/>
          <w:sz w:val="24"/>
          <w:highlight w:val="none"/>
          <w:lang w:eastAsia="zh-CN"/>
        </w:rPr>
        <w:t>获取文件</w:t>
      </w:r>
      <w:r>
        <w:rPr>
          <w:rFonts w:hint="eastAsia" w:ascii="仿宋" w:hAnsi="仿宋" w:eastAsia="仿宋" w:cs="仿宋"/>
          <w:kern w:val="0"/>
          <w:sz w:val="24"/>
          <w:highlight w:val="none"/>
        </w:rPr>
        <w:t>，且有意向参加本项目响应磋商的供应商。</w:t>
      </w:r>
    </w:p>
    <w:p w14:paraId="72E2BA3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2.4“供应商”指按照磋商文件第一章规定进行</w:t>
      </w:r>
      <w:r>
        <w:rPr>
          <w:rFonts w:hint="eastAsia" w:ascii="仿宋" w:hAnsi="仿宋" w:eastAsia="仿宋" w:cs="仿宋"/>
          <w:kern w:val="0"/>
          <w:sz w:val="24"/>
          <w:highlight w:val="none"/>
          <w:lang w:eastAsia="zh-CN"/>
        </w:rPr>
        <w:t>获取文件</w:t>
      </w:r>
      <w:r>
        <w:rPr>
          <w:rFonts w:hint="eastAsia" w:ascii="仿宋" w:hAnsi="仿宋" w:eastAsia="仿宋" w:cs="仿宋"/>
          <w:kern w:val="0"/>
          <w:sz w:val="24"/>
          <w:highlight w:val="none"/>
        </w:rPr>
        <w:t>，且已经提交响应文件的法人或其他组织或自然人。只有适合自然人参与和承接的采购项目，供应商才可以是自然人。</w:t>
      </w:r>
    </w:p>
    <w:p w14:paraId="2CB7C49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2.5“单位负责人”指单位法定代表人（供应商为法人的）或法律、法规规定代表单位行使职权的主要负责人（供应商为其他组织的）。</w:t>
      </w:r>
    </w:p>
    <w:p w14:paraId="5033A44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2.6“供应商代表”指供应商（为法人或其他组织的）的单位负责人或由其授权的委托代理人，即单位负责人授权书中载明的接受授权方。供应商为自然人的，由本人签字并附身份证明。</w:t>
      </w:r>
    </w:p>
    <w:p w14:paraId="56D1F0AF">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3.合格的</w:t>
      </w:r>
      <w:r>
        <w:rPr>
          <w:rFonts w:hint="eastAsia" w:ascii="仿宋" w:hAnsi="仿宋" w:eastAsia="仿宋" w:cs="仿宋"/>
          <w:kern w:val="0"/>
          <w:sz w:val="24"/>
          <w:highlight w:val="none"/>
        </w:rPr>
        <w:t>供应商</w:t>
      </w:r>
      <w:r>
        <w:rPr>
          <w:rFonts w:hint="eastAsia" w:ascii="仿宋" w:hAnsi="仿宋" w:eastAsia="仿宋" w:cs="仿宋"/>
          <w:b/>
          <w:bCs/>
          <w:kern w:val="0"/>
          <w:sz w:val="24"/>
          <w:highlight w:val="none"/>
        </w:rPr>
        <w:t>：</w:t>
      </w:r>
    </w:p>
    <w:p w14:paraId="0C74E0F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3.1一般规定</w:t>
      </w:r>
    </w:p>
    <w:p w14:paraId="237EC3F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3.1.1供应商除了应遵守</w:t>
      </w:r>
      <w:r>
        <w:rPr>
          <w:rFonts w:hint="eastAsia" w:ascii="仿宋" w:hAnsi="仿宋" w:eastAsia="仿宋" w:cs="仿宋"/>
          <w:kern w:val="0"/>
          <w:sz w:val="24"/>
          <w:highlight w:val="none"/>
          <w:lang w:eastAsia="zh-CN"/>
        </w:rPr>
        <w:t>《中华人民共和国政府采购法》</w:t>
      </w:r>
      <w:r>
        <w:rPr>
          <w:rFonts w:hint="eastAsia" w:ascii="仿宋" w:hAnsi="仿宋" w:eastAsia="仿宋" w:cs="仿宋"/>
          <w:kern w:val="0"/>
          <w:sz w:val="24"/>
          <w:highlight w:val="none"/>
        </w:rPr>
        <w:t>及实施条例、</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政府采购非招标采购方式管理办法</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及财政部、福建省财政厅有关政府采购文件的规定外，还应遵守《中华人民共和国劳动合同法》有关规定和《中华人民共和国妇女权益保障法》中关于“劳动和社会保障权益”的有关要求以及其他有关法律、法规和规章的强制性规定。</w:t>
      </w:r>
    </w:p>
    <w:p w14:paraId="3342C08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eastAsia="zh-CN"/>
        </w:rPr>
      </w:pPr>
      <w:r>
        <w:rPr>
          <w:rFonts w:hint="eastAsia" w:ascii="仿宋" w:hAnsi="仿宋" w:eastAsia="仿宋" w:cs="宋体"/>
          <w:kern w:val="0"/>
          <w:sz w:val="24"/>
          <w:highlight w:val="none"/>
        </w:rPr>
        <w:t>供应商对提供福建省政府采购供应商资格承诺函及所承诺事项的真实性、合法性及有效性负责，并已知晓所提供资格承诺函内容不实的，可能涉嫌《中华人民共和国政府采购法》第七十七条第一款第(一)项规定的“提供虚假材料谋取中标成交”违法情形。经调查属实的，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r>
        <w:rPr>
          <w:rFonts w:hint="eastAsia" w:ascii="仿宋" w:hAnsi="仿宋" w:eastAsia="仿宋" w:cs="宋体"/>
          <w:kern w:val="0"/>
          <w:sz w:val="24"/>
          <w:highlight w:val="none"/>
          <w:lang w:eastAsia="zh-CN"/>
        </w:rPr>
        <w:t>。</w:t>
      </w:r>
    </w:p>
    <w:p w14:paraId="2D09F91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3.1.2为采购项目提供整体设计、规范编制或项目管理、监理、检测等服务的供应商，不得再参加该采购项目除整体设计、规范编制和项目管理、监理、检测等服务之外的其他采购活动</w:t>
      </w:r>
      <w:r>
        <w:rPr>
          <w:rFonts w:hint="eastAsia" w:ascii="仿宋" w:hAnsi="仿宋" w:eastAsia="仿宋" w:cs="仿宋"/>
          <w:b/>
          <w:bCs/>
          <w:kern w:val="0"/>
          <w:sz w:val="24"/>
          <w:highlight w:val="none"/>
        </w:rPr>
        <w:t>。</w:t>
      </w:r>
    </w:p>
    <w:p w14:paraId="0F4AE16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3.1.3列入失信被执行人、</w:t>
      </w:r>
      <w:r>
        <w:rPr>
          <w:rFonts w:hint="eastAsia" w:ascii="仿宋" w:hAnsi="仿宋" w:eastAsia="仿宋" w:cs="仿宋"/>
          <w:kern w:val="0"/>
          <w:sz w:val="24"/>
          <w:highlight w:val="none"/>
          <w:lang w:eastAsia="zh-CN"/>
        </w:rPr>
        <w:t>重大税收违法失信主体</w:t>
      </w:r>
      <w:r>
        <w:rPr>
          <w:rFonts w:hint="eastAsia" w:ascii="仿宋" w:hAnsi="仿宋" w:eastAsia="仿宋" w:cs="仿宋"/>
          <w:kern w:val="0"/>
          <w:sz w:val="24"/>
          <w:highlight w:val="none"/>
        </w:rPr>
        <w:t>、政府采购严重违法失信行为记录名单及其他不符合《中华人民共和国政府采购法》第二十二条规定条件的供应商，不得参加采购活动</w:t>
      </w:r>
      <w:r>
        <w:rPr>
          <w:rFonts w:hint="eastAsia" w:ascii="仿宋" w:hAnsi="仿宋" w:eastAsia="仿宋" w:cs="仿宋"/>
          <w:b/>
          <w:bCs/>
          <w:kern w:val="0"/>
          <w:sz w:val="24"/>
          <w:highlight w:val="none"/>
        </w:rPr>
        <w:t>。</w:t>
      </w:r>
    </w:p>
    <w:p w14:paraId="2FBC0A40">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供应商有责任检查自身情况，在响应文件中对是否违反以上一般规定做出如实声明，否则其响应文件将被否决。</w:t>
      </w:r>
    </w:p>
    <w:p w14:paraId="52F5E9D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3.2特别规定</w:t>
      </w:r>
    </w:p>
    <w:p w14:paraId="54D2531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3.2.1供应商的资格要求：详见竞争性磋商须知前附表第</w:t>
      </w:r>
      <w:r>
        <w:rPr>
          <w:rFonts w:hint="eastAsia" w:ascii="仿宋" w:hAnsi="仿宋" w:eastAsia="仿宋" w:cs="仿宋"/>
          <w:kern w:val="0"/>
          <w:sz w:val="24"/>
          <w:highlight w:val="none"/>
          <w:u w:val="single"/>
        </w:rPr>
        <w:t>1</w:t>
      </w:r>
      <w:r>
        <w:rPr>
          <w:rFonts w:hint="eastAsia" w:ascii="仿宋" w:hAnsi="仿宋" w:eastAsia="仿宋" w:cs="仿宋"/>
          <w:kern w:val="0"/>
          <w:sz w:val="24"/>
          <w:highlight w:val="none"/>
        </w:rPr>
        <w:t>项。</w:t>
      </w:r>
    </w:p>
    <w:p w14:paraId="1DD5CEB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3.2.2是否接受联合体形式的响应磋商：详见竞争性磋商须知前附表第</w:t>
      </w:r>
      <w:r>
        <w:rPr>
          <w:rFonts w:hint="eastAsia" w:ascii="仿宋" w:hAnsi="仿宋" w:eastAsia="仿宋" w:cs="仿宋"/>
          <w:kern w:val="0"/>
          <w:sz w:val="24"/>
          <w:highlight w:val="none"/>
          <w:u w:val="single"/>
        </w:rPr>
        <w:t>2</w:t>
      </w:r>
      <w:r>
        <w:rPr>
          <w:rFonts w:hint="eastAsia" w:ascii="仿宋" w:hAnsi="仿宋" w:eastAsia="仿宋" w:cs="仿宋"/>
          <w:kern w:val="0"/>
          <w:sz w:val="24"/>
          <w:highlight w:val="none"/>
        </w:rPr>
        <w:t>项。若接受联合体形式且供应商为联合体，则联合体各方除了应遵守本章第3.1条规定外，还应遵守下列规定：</w:t>
      </w:r>
    </w:p>
    <w:p w14:paraId="4B886DE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（1）联合体各方应提交联合体协议，联合体协议应符合磋商文件规定。</w:t>
      </w:r>
    </w:p>
    <w:p w14:paraId="55628AE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（2）联合体各方不得再单独参加或与其他供应商另外组成联合体参加同一合同项下的响应磋商。</w:t>
      </w:r>
    </w:p>
    <w:p w14:paraId="111B016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（3）联合体各方应共同与采购人签订采购合同，就采购合同约定的事项对采购人承担连带责任。</w:t>
      </w:r>
    </w:p>
    <w:p w14:paraId="2E850AE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6FBD285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（5）联合体一方放弃成交的，视为联合体整体放弃成交，联合体各方承担连带责任。</w:t>
      </w:r>
    </w:p>
    <w:p w14:paraId="0375556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（6）如本项目不接受联合体报价而供应商为联合体的，或者本项目接受联合体报价但供应商组成的联合体不符合本章第3.2条规定的，其报价无效。</w:t>
      </w:r>
    </w:p>
    <w:p w14:paraId="0F7D87C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3.2.3若接受联合体形式，单位负责人为同一人或者存在直接控股、管理关系的不同供应商可以组成一个联合体，以一个供应商的身份参加采购活动。若不接受联合体形式，则单位负责人为同一人或者存在直接控股、管理关系的不同供应商，不得参加同一合同项下的采购活动。</w:t>
      </w:r>
    </w:p>
    <w:p w14:paraId="122010C5">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4.参与竞争性磋商费用：</w:t>
      </w:r>
    </w:p>
    <w:p w14:paraId="672134E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4.1除法律法规或采购文件另有规定之外，供应商应自行承担其准备与参加竞争性磋商所涉及的一切费用。</w:t>
      </w:r>
    </w:p>
    <w:p w14:paraId="1D4A4E92">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12" w:name="_Toc30770"/>
      <w:r>
        <w:rPr>
          <w:rFonts w:hint="eastAsia" w:ascii="仿宋" w:hAnsi="仿宋" w:eastAsia="仿宋" w:cs="仿宋"/>
          <w:b/>
          <w:bCs/>
          <w:sz w:val="28"/>
          <w:szCs w:val="32"/>
          <w:highlight w:val="none"/>
        </w:rPr>
        <w:t>二、竞争性磋商文件</w:t>
      </w:r>
      <w:bookmarkEnd w:id="12"/>
    </w:p>
    <w:p w14:paraId="6CA6A402">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5.竞争性磋商文件的组成：</w:t>
      </w:r>
    </w:p>
    <w:p w14:paraId="22EC457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5.1竞争性磋商文件由下述部分组成：</w:t>
      </w:r>
    </w:p>
    <w:p w14:paraId="371B2E4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第一章 采购公告（或采购邀请书）</w:t>
      </w:r>
    </w:p>
    <w:p w14:paraId="7EAEDA5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第二章 竞争性磋商须知</w:t>
      </w:r>
    </w:p>
    <w:p w14:paraId="5FEF231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第三章 采购内容及要求</w:t>
      </w:r>
    </w:p>
    <w:p w14:paraId="2460123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第四章 合同主要条款及格式</w:t>
      </w:r>
    </w:p>
    <w:p w14:paraId="0EF909C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第五章 首次响应文件格式</w:t>
      </w:r>
    </w:p>
    <w:p w14:paraId="1427291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5.2除上述内容以外，采购人、采购代理机构或者磋商小组在采购过程期间对磋商文件所作的澄清、修改或补充，均构成磋商文件的组成部分，对采购人和供应商具有约束力。</w:t>
      </w:r>
    </w:p>
    <w:p w14:paraId="49181B41">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6.竞争性磋商文件的澄清、补充、修改及现场考察等：</w:t>
      </w:r>
    </w:p>
    <w:p w14:paraId="20BE04B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6.1提交首次响应文件截止之日前，采购人、采购代理机构或者磋商小组可以对已发出的磋商文件进行必要的澄清、补充或者修改，澄清、补充或者修改的内容作为磋商文件的组成部分。澄清、补充或者修改的内容可能影响响应文件编制的，采购人、采购代理机构或者磋商小组将在提交首次响应文件截止时间5个日历日前，以书面形式通知所有获取磋商文件的潜在供应商，不足5个日历日的，采购人、采购代理机构或磋商小组将顺延提交首次响应文件的截止时间。</w:t>
      </w:r>
    </w:p>
    <w:p w14:paraId="3ED988B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6.2提交首次响应文件截止时间前，若采购人发布更正公告，则更正公告及其所发布的内容或信息（包括但不限于竞争性磋商文件的澄清、补充或修改等）作为磋商文件组成部分，对采购人和供应商具有约束力。更正公告作为采购人、采购代理机构或磋商小组通知所有潜在供应商的书面形式，潜在供应商务必随时关注磋商文件中载明的指定媒体，以免遗漏。</w:t>
      </w:r>
    </w:p>
    <w:p w14:paraId="75374CE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6.3采购人、采购代理机构可以视采购项目的具体情况，组织供应商进行现场考察或召开磋商前答疑会，是否组织现场考察或召开磋商前答疑会详见竞争性磋商须知前附表第</w:t>
      </w:r>
      <w:r>
        <w:rPr>
          <w:rFonts w:hint="eastAsia" w:ascii="仿宋" w:hAnsi="仿宋" w:eastAsia="仿宋" w:cs="仿宋"/>
          <w:kern w:val="0"/>
          <w:sz w:val="24"/>
          <w:highlight w:val="none"/>
          <w:u w:val="single"/>
        </w:rPr>
        <w:t>3</w:t>
      </w:r>
      <w:r>
        <w:rPr>
          <w:rFonts w:hint="eastAsia" w:ascii="仿宋" w:hAnsi="仿宋" w:eastAsia="仿宋" w:cs="仿宋"/>
          <w:kern w:val="0"/>
          <w:sz w:val="24"/>
          <w:highlight w:val="none"/>
        </w:rPr>
        <w:t>项。</w:t>
      </w:r>
    </w:p>
    <w:p w14:paraId="7E058C0B">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13" w:name="_Toc7090"/>
      <w:r>
        <w:rPr>
          <w:rFonts w:hint="eastAsia" w:ascii="仿宋" w:hAnsi="仿宋" w:eastAsia="仿宋" w:cs="仿宋"/>
          <w:b/>
          <w:bCs/>
          <w:sz w:val="28"/>
          <w:szCs w:val="32"/>
          <w:highlight w:val="none"/>
        </w:rPr>
        <w:t>三、响应文件编制</w:t>
      </w:r>
      <w:bookmarkEnd w:id="13"/>
    </w:p>
    <w:p w14:paraId="4DC3417B">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7.应标要求</w:t>
      </w:r>
    </w:p>
    <w:p w14:paraId="7181410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7.1供应商可按照</w:t>
      </w:r>
      <w:r>
        <w:rPr>
          <w:rFonts w:hint="eastAsia" w:ascii="仿宋" w:hAnsi="仿宋" w:eastAsia="仿宋" w:cs="仿宋"/>
          <w:kern w:val="0"/>
          <w:sz w:val="24"/>
          <w:highlight w:val="none"/>
          <w:lang w:eastAsia="zh-CN"/>
        </w:rPr>
        <w:t>采购包</w:t>
      </w:r>
      <w:r>
        <w:rPr>
          <w:rFonts w:hint="eastAsia" w:ascii="仿宋" w:hAnsi="仿宋" w:eastAsia="仿宋" w:cs="仿宋"/>
          <w:kern w:val="0"/>
          <w:sz w:val="24"/>
          <w:highlight w:val="none"/>
        </w:rPr>
        <w:t>号，对竞争性磋商文件中载明的全部或部分</w:t>
      </w:r>
      <w:r>
        <w:rPr>
          <w:rFonts w:hint="eastAsia" w:ascii="仿宋" w:hAnsi="仿宋" w:eastAsia="仿宋" w:cs="仿宋"/>
          <w:kern w:val="0"/>
          <w:sz w:val="24"/>
          <w:highlight w:val="none"/>
          <w:lang w:eastAsia="zh-CN"/>
        </w:rPr>
        <w:t>采购包</w:t>
      </w:r>
      <w:r>
        <w:rPr>
          <w:rFonts w:hint="eastAsia" w:ascii="仿宋" w:hAnsi="仿宋" w:eastAsia="仿宋" w:cs="仿宋"/>
          <w:kern w:val="0"/>
          <w:sz w:val="24"/>
          <w:highlight w:val="none"/>
        </w:rPr>
        <w:t>进行响应。对于能够详细列明采购标的技术、服务要求的采购项目，供应商响应时，对同一个</w:t>
      </w:r>
      <w:r>
        <w:rPr>
          <w:rFonts w:hint="eastAsia" w:ascii="仿宋" w:hAnsi="仿宋" w:eastAsia="仿宋" w:cs="仿宋"/>
          <w:kern w:val="0"/>
          <w:sz w:val="24"/>
          <w:highlight w:val="none"/>
          <w:lang w:eastAsia="zh-CN"/>
        </w:rPr>
        <w:t>采购包</w:t>
      </w:r>
      <w:r>
        <w:rPr>
          <w:rFonts w:hint="eastAsia" w:ascii="仿宋" w:hAnsi="仿宋" w:eastAsia="仿宋" w:cs="仿宋"/>
          <w:kern w:val="0"/>
          <w:sz w:val="24"/>
          <w:highlight w:val="none"/>
        </w:rPr>
        <w:t>内所有的采购内容和要求必须进行完整响应，否则其相应</w:t>
      </w:r>
      <w:r>
        <w:rPr>
          <w:rFonts w:hint="eastAsia" w:ascii="仿宋" w:hAnsi="仿宋" w:eastAsia="仿宋" w:cs="仿宋"/>
          <w:kern w:val="0"/>
          <w:sz w:val="24"/>
          <w:highlight w:val="none"/>
          <w:lang w:eastAsia="zh-CN"/>
        </w:rPr>
        <w:t>采购包</w:t>
      </w:r>
      <w:r>
        <w:rPr>
          <w:rFonts w:hint="eastAsia" w:ascii="仿宋" w:hAnsi="仿宋" w:eastAsia="仿宋" w:cs="仿宋"/>
          <w:kern w:val="0"/>
          <w:sz w:val="24"/>
          <w:highlight w:val="none"/>
        </w:rPr>
        <w:t>的响应文件将被否决。</w:t>
      </w:r>
    </w:p>
    <w:p w14:paraId="4C313B2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7.2供应商代表在同一个合同项下只能接受一个供应商的委托参加响应磋商，否则其响应文件将被否决。</w:t>
      </w:r>
    </w:p>
    <w:p w14:paraId="791E1E2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7.3供应商应仔细阅读磋商文件的所有内容和要求，按磋商文件的规定提供响应文件，并对其所提供的全部资料、承诺和声明的真实性、合法性和准确性负责。</w:t>
      </w:r>
    </w:p>
    <w:p w14:paraId="1513A5F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7.4除非竞争性磋商须知前附表另有规定外，供应商提供的响应文件应使用中文文本，若有不同文字文本，以中文文本为准。</w:t>
      </w:r>
    </w:p>
    <w:p w14:paraId="34D8B24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7.5响应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47B083D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7.6除非竞争性磋商须知前附表另有规定外，供应商承诺的报价应以人民币进行报价，合同实施结算时亦以人民币支付；所有计量均采用中华人民共和国法定计量单位。</w:t>
      </w:r>
    </w:p>
    <w:p w14:paraId="585F7C88">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8.首次响应文件的组成：</w:t>
      </w:r>
    </w:p>
    <w:p w14:paraId="7DA3ABF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8.1首次响应文件包括但不限于下列部分：</w:t>
      </w:r>
    </w:p>
    <w:p w14:paraId="32B3115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（1）磋商响应声明</w:t>
      </w:r>
    </w:p>
    <w:p w14:paraId="1010C2E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）报价一览表</w:t>
      </w:r>
    </w:p>
    <w:p w14:paraId="778E83C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3</w:t>
      </w:r>
      <w:r>
        <w:rPr>
          <w:rFonts w:hint="eastAsia" w:ascii="仿宋" w:hAnsi="仿宋" w:eastAsia="仿宋" w:cs="仿宋"/>
          <w:kern w:val="0"/>
          <w:sz w:val="24"/>
          <w:highlight w:val="none"/>
        </w:rPr>
        <w:t>）详细报价书</w:t>
      </w:r>
    </w:p>
    <w:p w14:paraId="6100635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4</w:t>
      </w:r>
      <w:r>
        <w:rPr>
          <w:rFonts w:hint="eastAsia" w:ascii="仿宋" w:hAnsi="仿宋" w:eastAsia="仿宋" w:cs="仿宋"/>
          <w:kern w:val="0"/>
          <w:sz w:val="24"/>
          <w:highlight w:val="none"/>
        </w:rPr>
        <w:t>）资格证明文件</w:t>
      </w:r>
    </w:p>
    <w:p w14:paraId="6104B63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）磋商保证金凭证</w:t>
      </w:r>
    </w:p>
    <w:p w14:paraId="22C24CE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）带“★”号条款逐条响应情况表</w:t>
      </w:r>
    </w:p>
    <w:p w14:paraId="3A51B9A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7</w:t>
      </w:r>
      <w:r>
        <w:rPr>
          <w:rFonts w:hint="eastAsia" w:ascii="仿宋" w:hAnsi="仿宋" w:eastAsia="仿宋" w:cs="仿宋"/>
          <w:kern w:val="0"/>
          <w:sz w:val="24"/>
          <w:highlight w:val="none"/>
        </w:rPr>
        <w:t>）技术商务评分响应索引表</w:t>
      </w:r>
    </w:p>
    <w:p w14:paraId="733C089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8</w:t>
      </w:r>
      <w:r>
        <w:rPr>
          <w:rFonts w:hint="eastAsia" w:ascii="仿宋" w:hAnsi="仿宋" w:eastAsia="仿宋" w:cs="仿宋"/>
          <w:kern w:val="0"/>
          <w:sz w:val="24"/>
          <w:highlight w:val="none"/>
        </w:rPr>
        <w:t>）业绩汇总表</w:t>
      </w:r>
    </w:p>
    <w:p w14:paraId="00ED288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9</w:t>
      </w:r>
      <w:r>
        <w:rPr>
          <w:rFonts w:hint="eastAsia" w:ascii="仿宋" w:hAnsi="仿宋" w:eastAsia="仿宋" w:cs="仿宋"/>
          <w:kern w:val="0"/>
          <w:sz w:val="24"/>
          <w:highlight w:val="none"/>
        </w:rPr>
        <w:t>）技术和服务要求响应表</w:t>
      </w:r>
    </w:p>
    <w:p w14:paraId="2B356B8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kern w:val="0"/>
          <w:sz w:val="24"/>
          <w:highlight w:val="none"/>
          <w:lang w:val="en-US" w:eastAsia="zh-CN"/>
        </w:rPr>
        <w:t>0</w:t>
      </w:r>
      <w:r>
        <w:rPr>
          <w:rFonts w:hint="eastAsia" w:ascii="仿宋" w:hAnsi="仿宋" w:eastAsia="仿宋" w:cs="仿宋"/>
          <w:kern w:val="0"/>
          <w:sz w:val="24"/>
          <w:highlight w:val="none"/>
        </w:rPr>
        <w:t>）商务条件和</w:t>
      </w:r>
      <w:r>
        <w:rPr>
          <w:rFonts w:hint="eastAsia" w:ascii="仿宋" w:hAnsi="仿宋" w:eastAsia="仿宋" w:cs="仿宋"/>
          <w:kern w:val="0"/>
          <w:sz w:val="24"/>
          <w:highlight w:val="none"/>
          <w:lang w:eastAsia="zh-CN"/>
        </w:rPr>
        <w:t>其他</w:t>
      </w:r>
      <w:r>
        <w:rPr>
          <w:rFonts w:hint="eastAsia" w:ascii="仿宋" w:hAnsi="仿宋" w:eastAsia="仿宋" w:cs="仿宋"/>
          <w:kern w:val="0"/>
          <w:sz w:val="24"/>
          <w:highlight w:val="none"/>
        </w:rPr>
        <w:t>事项响应表</w:t>
      </w:r>
    </w:p>
    <w:p w14:paraId="27A2060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11</w:t>
      </w:r>
      <w:r>
        <w:rPr>
          <w:rFonts w:hint="eastAsia" w:ascii="仿宋" w:hAnsi="仿宋" w:eastAsia="仿宋" w:cs="仿宋"/>
          <w:kern w:val="0"/>
          <w:sz w:val="24"/>
          <w:highlight w:val="none"/>
        </w:rPr>
        <w:t>）相关技术、商务、服务响应承诺及资料</w:t>
      </w:r>
    </w:p>
    <w:p w14:paraId="60B0462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）价格扣除的证明材料（若有）</w:t>
      </w:r>
    </w:p>
    <w:p w14:paraId="5706D4D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kern w:val="0"/>
          <w:sz w:val="24"/>
          <w:highlight w:val="none"/>
          <w:lang w:val="en-US" w:eastAsia="zh-CN"/>
        </w:rPr>
        <w:t>3</w:t>
      </w:r>
      <w:r>
        <w:rPr>
          <w:rFonts w:hint="eastAsia" w:ascii="仿宋" w:hAnsi="仿宋" w:eastAsia="仿宋" w:cs="仿宋"/>
          <w:kern w:val="0"/>
          <w:sz w:val="24"/>
          <w:highlight w:val="none"/>
        </w:rPr>
        <w:t>）要求作为响应文件组成部分的其他内容（若有）</w:t>
      </w:r>
    </w:p>
    <w:p w14:paraId="3917DB9E">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9.响应文件有效期：</w:t>
      </w:r>
    </w:p>
    <w:p w14:paraId="4497076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9.1响应文件有效期见竞争性磋商须知前附表第</w:t>
      </w:r>
      <w:r>
        <w:rPr>
          <w:rFonts w:hint="eastAsia" w:ascii="仿宋" w:hAnsi="仿宋" w:eastAsia="仿宋" w:cs="仿宋"/>
          <w:kern w:val="0"/>
          <w:sz w:val="24"/>
          <w:highlight w:val="none"/>
          <w:u w:val="single"/>
        </w:rPr>
        <w:t>4</w:t>
      </w:r>
      <w:r>
        <w:rPr>
          <w:rFonts w:hint="eastAsia" w:ascii="仿宋" w:hAnsi="仿宋" w:eastAsia="仿宋" w:cs="仿宋"/>
          <w:kern w:val="0"/>
          <w:sz w:val="24"/>
          <w:highlight w:val="none"/>
        </w:rPr>
        <w:t>项，响应文件承诺的有效期不得少于磋商文件载明的有效期，</w:t>
      </w:r>
      <w:r>
        <w:rPr>
          <w:rFonts w:hint="eastAsia" w:ascii="仿宋" w:hAnsi="仿宋" w:eastAsia="仿宋" w:cs="仿宋"/>
          <w:b/>
          <w:bCs/>
          <w:kern w:val="0"/>
          <w:sz w:val="24"/>
          <w:highlight w:val="none"/>
        </w:rPr>
        <w:t>否则其响应文件将被否决。</w:t>
      </w:r>
    </w:p>
    <w:p w14:paraId="646586B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9.2特殊情况下采购人可于响应文件有效期满之前要求供应商同意延长有效期，要求与答复均应为书面形式。供应商可以拒绝延长有效期，且其磋商保证金可以退还，但其供应商资格将被取消。同意延长有效期的供应商，不需要也不允许修改其响应文件及磋商承诺，但将要求其相应延长磋商保证金有效期，有关退还和不予退还磋商保证金的规定在有效期延长期内继续有效。</w:t>
      </w:r>
    </w:p>
    <w:p w14:paraId="1019D284">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10.磋商保证金：</w:t>
      </w:r>
    </w:p>
    <w:p w14:paraId="581084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10.1供应商应按竞争性磋商</w:t>
      </w:r>
      <w:r>
        <w:rPr>
          <w:rFonts w:hint="eastAsia" w:ascii="仿宋" w:hAnsi="仿宋" w:eastAsia="仿宋" w:cs="仿宋"/>
          <w:kern w:val="0"/>
          <w:sz w:val="24"/>
          <w:highlight w:val="none"/>
          <w:lang w:val="en-US" w:eastAsia="zh-CN"/>
        </w:rPr>
        <w:t>文件</w:t>
      </w:r>
      <w:r>
        <w:rPr>
          <w:rFonts w:hint="eastAsia" w:ascii="仿宋" w:hAnsi="仿宋" w:eastAsia="仿宋" w:cs="仿宋"/>
          <w:kern w:val="0"/>
          <w:sz w:val="24"/>
          <w:highlight w:val="none"/>
        </w:rPr>
        <w:t>规定的金额、形式等要求提交磋商保证金。磋商文件若接受联合体形式且供应商为联合体的，则可以由联合体中的牵头方提交磋商保证金，其提交的磋商保证金对联合体各方均具有约束力。</w:t>
      </w:r>
    </w:p>
    <w:p w14:paraId="7FF7F85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rPr>
        <w:t>10.1.1</w:t>
      </w:r>
      <w:r>
        <w:rPr>
          <w:rFonts w:hint="eastAsia" w:ascii="仿宋" w:hAnsi="仿宋" w:eastAsia="仿宋" w:cs="仿宋"/>
          <w:kern w:val="0"/>
          <w:sz w:val="24"/>
          <w:highlight w:val="none"/>
          <w:lang w:val="en-US" w:eastAsia="zh-CN"/>
        </w:rPr>
        <w:t>供应商以汇款形式缴纳磋商保证金的，应从其基本存款账户以公对公转账方式向采购文件载明的磋商保证金账户转入磋商保证金。磋商保证金须于首次响应文件递交截止时间前实际到达指定账户，逾期未到账的，视为未提交磋商保证金。</w:t>
      </w:r>
    </w:p>
    <w:p w14:paraId="3A5F72E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10.1.2供应商以保函形式提交磋商保证金的，应在首次响应文件递交截止时间前开具合法有效的保函，并将保函原件（或正本文件）密封装入响应文件中一并递交，逾期递交或未按要求装入响应文件的，视为未提交磋商保证金；【保函有效期应不短于响应文件承诺的有效期，保函应由供应商基本账户开户行或具备法定资质的专业担保机构出具，否则不予认可。】</w:t>
      </w:r>
    </w:p>
    <w:p w14:paraId="4B2F583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10.2磋商保证金为响应文件的重要组成部分之一。磋商保证金用于保护本次磋商活动免受供应商的违约或失信行为而引起的风险。未按规定提交磋商保证金的，</w:t>
      </w:r>
      <w:r>
        <w:rPr>
          <w:rFonts w:hint="eastAsia" w:ascii="仿宋" w:hAnsi="仿宋" w:eastAsia="仿宋" w:cs="仿宋"/>
          <w:b/>
          <w:bCs/>
          <w:kern w:val="0"/>
          <w:sz w:val="24"/>
          <w:highlight w:val="none"/>
        </w:rPr>
        <w:t>其响应文件将被否决。</w:t>
      </w:r>
    </w:p>
    <w:p w14:paraId="3A9CD46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10.3磋商保证金退还：</w:t>
      </w:r>
    </w:p>
    <w:p w14:paraId="5BDC123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10.3.1采购人或者采购代理机构将在采购活动结束后及时退还供应商的保证金，但因供应商自身原因导致无法及时退还的除外（比如：采购人委托代理机构组织磋商采购，成交的供应商未向采购代理机构出具已签订合同证明材料，造成磋商保证金退还时间延误的结果，由成交的供应商自行承担和谅解等）。未</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的保证金将在成交通知书发出后5个工作日内退还，</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的保证金将在采购合同签订后5个工作日内退还。关于磋商保证金退还的</w:t>
      </w:r>
      <w:r>
        <w:rPr>
          <w:rFonts w:hint="eastAsia" w:ascii="仿宋" w:hAnsi="仿宋" w:eastAsia="仿宋" w:cs="仿宋"/>
          <w:kern w:val="0"/>
          <w:sz w:val="24"/>
          <w:highlight w:val="none"/>
          <w:lang w:eastAsia="zh-CN"/>
        </w:rPr>
        <w:t>其他</w:t>
      </w:r>
      <w:r>
        <w:rPr>
          <w:rFonts w:hint="eastAsia" w:ascii="仿宋" w:hAnsi="仿宋" w:eastAsia="仿宋" w:cs="仿宋"/>
          <w:kern w:val="0"/>
          <w:sz w:val="24"/>
          <w:highlight w:val="none"/>
        </w:rPr>
        <w:t>要求见竞争性磋商须知前附表第</w:t>
      </w:r>
      <w:r>
        <w:rPr>
          <w:rFonts w:hint="eastAsia" w:ascii="仿宋" w:hAnsi="仿宋" w:eastAsia="仿宋" w:cs="仿宋"/>
          <w:kern w:val="0"/>
          <w:sz w:val="24"/>
          <w:highlight w:val="none"/>
          <w:u w:val="single"/>
        </w:rPr>
        <w:t>6</w:t>
      </w:r>
      <w:r>
        <w:rPr>
          <w:rFonts w:hint="eastAsia" w:ascii="仿宋" w:hAnsi="仿宋" w:eastAsia="仿宋" w:cs="仿宋"/>
          <w:kern w:val="0"/>
          <w:sz w:val="24"/>
          <w:highlight w:val="none"/>
        </w:rPr>
        <w:t>项。</w:t>
      </w:r>
    </w:p>
    <w:p w14:paraId="1D521E0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10.3.2质疑或投诉涉及的供应商，若其磋商保证金尚未退还，则待质疑或投诉处理完毕后，且没有发生法律法规或者磋商文件规定的不予退还磋商保证金情形，则由采购人或采购代理机构给予及时退还。</w:t>
      </w:r>
    </w:p>
    <w:p w14:paraId="55A5CDB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10.4如果供应商发生以下任何一种情况时，其磋商保证金将被不予退还：</w:t>
      </w:r>
    </w:p>
    <w:p w14:paraId="17568F1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1</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供应商在提交响应文件截止时间后撤回响应文件的；</w:t>
      </w:r>
    </w:p>
    <w:p w14:paraId="0C18CFA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2</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供应商在响应文件中提供虚假材料的；</w:t>
      </w:r>
    </w:p>
    <w:p w14:paraId="221A302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3</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除因不可抗力或磋商文件认可的情形以外，</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不与采购人签订合同的；</w:t>
      </w:r>
    </w:p>
    <w:p w14:paraId="015ECEC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4</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供应商与采购人、其他供应商或者采购代理机构恶意串通的；</w:t>
      </w:r>
    </w:p>
    <w:p w14:paraId="514107B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5</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供应商在提交最后报价后要求退出磋商的；</w:t>
      </w:r>
    </w:p>
    <w:p w14:paraId="200D5BC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6</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供应商假借以他人名义参加磋商或者以其他方式弄虚作假，骗取成交；</w:t>
      </w:r>
    </w:p>
    <w:p w14:paraId="2A9937C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7</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国家法律法规以及磋商文件中规定的其他磋商保证金不予退还的情形。</w:t>
      </w:r>
    </w:p>
    <w:p w14:paraId="3EEE83C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上述不予退还磋商保证金的情况不能抵偿给采购人或采购代理机构造成损失的，供应商还要承担赔偿责任。</w:t>
      </w:r>
    </w:p>
    <w:p w14:paraId="3E311E2B">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11.响应文件基本编制要求：</w:t>
      </w:r>
    </w:p>
    <w:p w14:paraId="0626E77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11.1供应商须编制由本须知规定组成的响应文件正副本份数详见竞争性磋商须知前附表第</w:t>
      </w:r>
      <w:r>
        <w:rPr>
          <w:rFonts w:hint="eastAsia" w:ascii="仿宋" w:hAnsi="仿宋" w:eastAsia="仿宋" w:cs="仿宋"/>
          <w:kern w:val="0"/>
          <w:sz w:val="24"/>
          <w:highlight w:val="none"/>
          <w:u w:val="single"/>
        </w:rPr>
        <w:t>7</w:t>
      </w:r>
      <w:r>
        <w:rPr>
          <w:rFonts w:hint="eastAsia" w:ascii="仿宋" w:hAnsi="仿宋" w:eastAsia="仿宋" w:cs="仿宋"/>
          <w:kern w:val="0"/>
          <w:sz w:val="24"/>
          <w:highlight w:val="none"/>
        </w:rPr>
        <w:t>项。响应文件正本和全部副本均应使用不能擦去的墨料或墨水打印、书写或复印，副本可以用正本的完整复印件。响应文件封面上应标明“正本”、“副本”字样。正本与副本内容如有不一致，则以正本为准。</w:t>
      </w:r>
    </w:p>
    <w:p w14:paraId="74B8316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11.2响应文件应由供应商代表签字并加盖公章。供应商代表如果不是竞争性磋商须知中定义的“单位负责人”，则其响应文件中还必须提供“单位负责人授权书”。</w:t>
      </w:r>
    </w:p>
    <w:p w14:paraId="16DF7A8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11.3响应文件应尽量避免涂改、行间插字或删除。如果出现上述情况，改动之处应加盖供应商单位公章或由供应商代表签字确认。</w:t>
      </w:r>
    </w:p>
    <w:p w14:paraId="106B914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11.4供应商应提交证明其拟提供货物、服务或工程符合磋商文件要求的技术和商务响应文件，该文件可以是文字资料、图纸和数据，并对拟提供的货物、服务或工程的主要内容进行详细描述。</w:t>
      </w:r>
    </w:p>
    <w:p w14:paraId="35F81FCB">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12.纸质响应文件的密封、标识、签署和提交</w:t>
      </w:r>
    </w:p>
    <w:p w14:paraId="2E84DCB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12.1供应商应当将响应文件密封包装提交，并在外封套上标识项目名称、项目编号、供应商单位名称以及“于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之前（指首次响应文件递交截止日期及时间）不准启封响应文件”的字样；采用邮寄方式提交响应文件的，其外包装上也必须按前文要求做好标识内容和字样，且供应商还应当主动向采购人或采购代理机构确认邮件收递情况。由于供应商未按照要求对其提交的响应文件进行密封、标识、邮寄确认等，由此可能产生的后果（包括拒收、误放、遗漏或提前拆封等情形），将由供应商自行承担相应结果，采购人或采购代理机构不承担责任。</w:t>
      </w:r>
    </w:p>
    <w:p w14:paraId="5FAEE0B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12.2供应商应当在磋商文件规定的提交响应文件截止时间前，将首次响应文件密封送达磋商文件规定的指定地点。在截止时间后送达的首次响应文件为无效文件，采购人、采购代理机构或者磋商小组将不予接收。</w:t>
      </w:r>
    </w:p>
    <w:p w14:paraId="2B5F495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12.3供应商在首次响应文件递交截止时间前，可以对其所提交的响应文件进行补充、修改或者撤回，并书面通知采购人、采购代理机构或磋商小组。补充、修改的内容作为响应文件的组成部分。补充、修改的内容与响应文件不一致的，以补充、修改的内容为准。供应商在提交响应文件截止时间前提交的补充、修改或者撤回申请要求，应当以原件书面形式并由供应商代表签署（供应商代表如果不是竞争性磋商须知中定义的“单位负责人”，则还必须提供“单位负责人授权书”），或者加盖供应商单位公章方可生效，否则采购人、采购代理机构或磋商小组将视为无效补充、修改或者撤回。采购人、采购代理机构或磋商小组不接受供应商口头、电话、传真或电子邮件形式提交的补充、修改或者撤回。</w:t>
      </w:r>
    </w:p>
    <w:p w14:paraId="7DC2DE5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12.4供应商在磋商过程中根据磋商小组要求，提交的有关澄清、说明、补充、更正响应文件以及最后报价响应文件等资料，均应由供应商代表签署（供应商代表如果不是竞争性磋商须知中定义的“单位负责人”，则还必须提供“单位负责人授权书”），或者加盖供应商单位公章。</w:t>
      </w:r>
    </w:p>
    <w:p w14:paraId="608B28A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12.5根据《福建省财政厅关于政府采购执行过程中有关规定的通知》（闽财购(2016)67号）的规定“经过公开招标采购方式流（废）标的货物、服务采购项目，经过财政部门批准变更采购方式为竞争性谈判或竞争性磋商的，在组织竞争性谈判或竞争性磋商采购时，采购过程中提交投标文件或者经评审实质性响应招标文件要求的供应商只有两家时，可以直接组织与该两家供应商进行竞争性谈判或竞争性磋商采购。”。</w:t>
      </w:r>
    </w:p>
    <w:p w14:paraId="0BEC8C0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12.6根据《福建省财政厅关于政府采购执行过程中有关规定的通知》（闽财购(2016)67号）的规定“依法直接采用竞争性谈判采购方式流（废）标的货物、服务项目及竞争性磋商采购方式流标的服务项目，未变更采购方式或经过财政部门批准变更采购方式的，在组织新一轮竞争性谈判或竞争性磋商采购时，采购过程中提交投标文件或者经评审实质性响应招标文件要求的供应商只有两家时，可以直接组织与该两家供应商进行竞争性谈判或竞争性磋商采购。”。</w:t>
      </w:r>
    </w:p>
    <w:p w14:paraId="0F25DDE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12.</w:t>
      </w:r>
      <w:r>
        <w:rPr>
          <w:rFonts w:hint="eastAsia" w:ascii="仿宋" w:hAnsi="仿宋" w:eastAsia="仿宋" w:cs="仿宋"/>
          <w:kern w:val="0"/>
          <w:sz w:val="24"/>
          <w:highlight w:val="none"/>
          <w:lang w:val="en-US" w:eastAsia="zh-CN"/>
        </w:rPr>
        <w:t>7</w:t>
      </w:r>
      <w:r>
        <w:rPr>
          <w:rFonts w:hint="eastAsia" w:ascii="仿宋" w:hAnsi="仿宋" w:eastAsia="仿宋" w:cs="仿宋"/>
          <w:kern w:val="0"/>
          <w:sz w:val="24"/>
          <w:highlight w:val="none"/>
        </w:rPr>
        <w:t>除</w:t>
      </w:r>
      <w:r>
        <w:rPr>
          <w:rFonts w:hint="eastAsia" w:ascii="仿宋" w:hAnsi="仿宋" w:eastAsia="仿宋" w:cs="仿宋"/>
          <w:sz w:val="24"/>
          <w:highlight w:val="none"/>
        </w:rPr>
        <w:t>《政府采购非招标采购方式管理办法》</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《福建省财政厅关于政府采购执行过程中有关规定的通知》、《福建省财政厅关于政府采购执行过程中有关规定的通知》</w:t>
      </w:r>
      <w:r>
        <w:rPr>
          <w:rFonts w:hint="eastAsia" w:ascii="仿宋" w:hAnsi="仿宋" w:eastAsia="仿宋" w:cs="仿宋"/>
          <w:kern w:val="0"/>
          <w:sz w:val="24"/>
          <w:highlight w:val="none"/>
        </w:rPr>
        <w:t>等相关法律法规及财政部门颁布的规范性文件允许的</w:t>
      </w:r>
      <w:r>
        <w:rPr>
          <w:rFonts w:hint="eastAsia" w:ascii="仿宋" w:hAnsi="仿宋" w:eastAsia="仿宋" w:cs="仿宋"/>
          <w:kern w:val="0"/>
          <w:sz w:val="24"/>
          <w:highlight w:val="none"/>
          <w:lang w:eastAsia="zh-CN"/>
        </w:rPr>
        <w:t>2家</w:t>
      </w:r>
      <w:r>
        <w:rPr>
          <w:rFonts w:hint="eastAsia" w:ascii="仿宋" w:hAnsi="仿宋" w:eastAsia="仿宋" w:cs="仿宋"/>
          <w:kern w:val="0"/>
          <w:sz w:val="24"/>
          <w:highlight w:val="none"/>
        </w:rPr>
        <w:t>供应商进行竞争性磋商采购情形外，首次响应文件递交截止时间后，提交响应文件的供应商不足三家的，本次竞争性磋商活动终止，除采购任务取消情形外，采购人将依法重新组织采购或者采取其他方式采购。</w:t>
      </w:r>
    </w:p>
    <w:p w14:paraId="09B6E2D2">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14" w:name="_Toc26922"/>
      <w:r>
        <w:rPr>
          <w:rFonts w:hint="eastAsia" w:ascii="仿宋" w:hAnsi="仿宋" w:eastAsia="仿宋" w:cs="仿宋"/>
          <w:b/>
          <w:bCs/>
          <w:sz w:val="28"/>
          <w:szCs w:val="32"/>
          <w:highlight w:val="none"/>
        </w:rPr>
        <w:t>四、竞争性磋商</w:t>
      </w:r>
      <w:bookmarkEnd w:id="14"/>
    </w:p>
    <w:p w14:paraId="262829BE">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13.评审和磋商基本准则</w:t>
      </w:r>
    </w:p>
    <w:p w14:paraId="0FA817F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13.1对所有供应商的评审和磋商，都采用相同的程序和标准。</w:t>
      </w:r>
    </w:p>
    <w:p w14:paraId="563E07F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13.2磋商及评审过程将严格按照磋商文件的要求和条件进行，磋商小组将根据供应商的响应文件，按磋商文件规定的磋商程序及评审的标准和方法进行评审、磋商，并推荐成交候选人。</w:t>
      </w:r>
    </w:p>
    <w:p w14:paraId="3124A2E2">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14.磋商程序以及评审标准和方法</w:t>
      </w:r>
    </w:p>
    <w:p w14:paraId="08D276B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14.1采购人将根据项目的特点依法组建磋商小组。磋商小组将根据磋商文件规定的程序、评审标准和方法等内容对供应商进行评审、磋商。</w:t>
      </w:r>
    </w:p>
    <w:p w14:paraId="4E7DAC0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14.2 在进入磋商阶段之前，磋商小组将对供应商提交的首次响应文件中资格证明文件以及其他响应文件是否对磋商文件的要求作出实质性响应进行审查。如果供应商资格审查和实质性响应审查不合格，则其响应文件将被磋商小组否决，按无效处理，不进入磋商阶段，磋商小组将告知有关供应商。</w:t>
      </w:r>
    </w:p>
    <w:p w14:paraId="03D5B8B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14.2.1供应商有下列情况之一者，其提交的响应文件将被视为未实质性响应磋商文件要求，磋商小组将否决其响应文件，按无效处理：</w:t>
      </w:r>
    </w:p>
    <w:p w14:paraId="5BA3F7D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采购包1：</w:t>
      </w:r>
    </w:p>
    <w:tbl>
      <w:tblPr>
        <w:tblStyle w:val="1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94"/>
        <w:gridCol w:w="2140"/>
        <w:gridCol w:w="6903"/>
      </w:tblGrid>
      <w:tr w14:paraId="7E5CEA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4" w:type="dxa"/>
            <w:vAlign w:val="center"/>
          </w:tcPr>
          <w:p w14:paraId="252CEE8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序号</w:t>
            </w:r>
          </w:p>
        </w:tc>
        <w:tc>
          <w:tcPr>
            <w:tcW w:w="2140" w:type="dxa"/>
            <w:vAlign w:val="center"/>
          </w:tcPr>
          <w:p w14:paraId="72EB5E4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符合审查要求概况</w:t>
            </w:r>
          </w:p>
        </w:tc>
        <w:tc>
          <w:tcPr>
            <w:tcW w:w="6903" w:type="dxa"/>
          </w:tcPr>
          <w:p w14:paraId="770FB0C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评审点具体描述</w:t>
            </w:r>
          </w:p>
        </w:tc>
      </w:tr>
      <w:tr w14:paraId="6E709E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4" w:type="dxa"/>
            <w:vAlign w:val="center"/>
          </w:tcPr>
          <w:p w14:paraId="44F25F8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w:t>
            </w:r>
          </w:p>
        </w:tc>
        <w:tc>
          <w:tcPr>
            <w:tcW w:w="2140" w:type="dxa"/>
            <w:vAlign w:val="center"/>
          </w:tcPr>
          <w:p w14:paraId="3D5F8D3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情形1</w:t>
            </w:r>
          </w:p>
        </w:tc>
        <w:tc>
          <w:tcPr>
            <w:tcW w:w="6903" w:type="dxa"/>
          </w:tcPr>
          <w:p w14:paraId="0E37140A">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响应文件中提供的资格证明文件不全的；</w:t>
            </w:r>
          </w:p>
        </w:tc>
      </w:tr>
      <w:tr w14:paraId="21DF9A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4" w:type="dxa"/>
            <w:vAlign w:val="center"/>
          </w:tcPr>
          <w:p w14:paraId="0A27BD4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w:t>
            </w:r>
          </w:p>
        </w:tc>
        <w:tc>
          <w:tcPr>
            <w:tcW w:w="2140" w:type="dxa"/>
            <w:vAlign w:val="center"/>
          </w:tcPr>
          <w:p w14:paraId="7AECA30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情形2</w:t>
            </w:r>
          </w:p>
        </w:tc>
        <w:tc>
          <w:tcPr>
            <w:tcW w:w="6903" w:type="dxa"/>
          </w:tcPr>
          <w:p w14:paraId="356AAFBC">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响应文件未按磋商文件规定由供应商代表签字，或未按磋商文件规定加盖供应商单位公章的；或供应商代表未获得有效授权的；</w:t>
            </w:r>
          </w:p>
        </w:tc>
      </w:tr>
      <w:tr w14:paraId="5AE95C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4" w:type="dxa"/>
            <w:vAlign w:val="center"/>
          </w:tcPr>
          <w:p w14:paraId="2F1CB0E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w:t>
            </w:r>
          </w:p>
        </w:tc>
        <w:tc>
          <w:tcPr>
            <w:tcW w:w="2140" w:type="dxa"/>
            <w:vAlign w:val="center"/>
          </w:tcPr>
          <w:p w14:paraId="0D17940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情形3</w:t>
            </w:r>
          </w:p>
        </w:tc>
        <w:tc>
          <w:tcPr>
            <w:tcW w:w="6903" w:type="dxa"/>
          </w:tcPr>
          <w:p w14:paraId="1F48FE95">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供应商未按磋商文件规定提交磋商保证金的；</w:t>
            </w:r>
          </w:p>
        </w:tc>
      </w:tr>
      <w:tr w14:paraId="5B060C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4" w:type="dxa"/>
            <w:vAlign w:val="center"/>
          </w:tcPr>
          <w:p w14:paraId="78CB92F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4</w:t>
            </w:r>
          </w:p>
        </w:tc>
        <w:tc>
          <w:tcPr>
            <w:tcW w:w="2140" w:type="dxa"/>
            <w:vAlign w:val="center"/>
          </w:tcPr>
          <w:p w14:paraId="415C46B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情形4</w:t>
            </w:r>
          </w:p>
        </w:tc>
        <w:tc>
          <w:tcPr>
            <w:tcW w:w="6903" w:type="dxa"/>
          </w:tcPr>
          <w:p w14:paraId="50B73BDA">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响应文件有效期不满足磋商文件要求的；</w:t>
            </w:r>
          </w:p>
        </w:tc>
      </w:tr>
      <w:tr w14:paraId="4955CB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4" w:type="dxa"/>
            <w:vAlign w:val="center"/>
          </w:tcPr>
          <w:p w14:paraId="7B29273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5</w:t>
            </w:r>
          </w:p>
        </w:tc>
        <w:tc>
          <w:tcPr>
            <w:tcW w:w="2140" w:type="dxa"/>
            <w:vAlign w:val="center"/>
          </w:tcPr>
          <w:p w14:paraId="34B975E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情形5</w:t>
            </w:r>
          </w:p>
        </w:tc>
        <w:tc>
          <w:tcPr>
            <w:tcW w:w="6903" w:type="dxa"/>
          </w:tcPr>
          <w:p w14:paraId="3526DD87">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响应内容与磋商采购内容及要求有重大偏离或保留的，限制了采购人的权利或者减少</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合同项下的义务；（由于磋商项目本身特点，不能详细列明采购标的的技术、服务要求的除外）；</w:t>
            </w:r>
          </w:p>
        </w:tc>
      </w:tr>
      <w:tr w14:paraId="075A25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4" w:type="dxa"/>
            <w:vAlign w:val="center"/>
          </w:tcPr>
          <w:p w14:paraId="4900C19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6</w:t>
            </w:r>
          </w:p>
        </w:tc>
        <w:tc>
          <w:tcPr>
            <w:tcW w:w="2140" w:type="dxa"/>
            <w:vAlign w:val="center"/>
          </w:tcPr>
          <w:p w14:paraId="10CDAD7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情形6</w:t>
            </w:r>
          </w:p>
        </w:tc>
        <w:tc>
          <w:tcPr>
            <w:tcW w:w="6903" w:type="dxa"/>
          </w:tcPr>
          <w:p w14:paraId="7E27C45C">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响应文件中附有采购人无法接受的条件的；</w:t>
            </w:r>
          </w:p>
        </w:tc>
      </w:tr>
      <w:tr w14:paraId="0D4CD1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4" w:type="dxa"/>
            <w:vAlign w:val="center"/>
          </w:tcPr>
          <w:p w14:paraId="41C0D61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7</w:t>
            </w:r>
          </w:p>
        </w:tc>
        <w:tc>
          <w:tcPr>
            <w:tcW w:w="2140" w:type="dxa"/>
            <w:vAlign w:val="center"/>
          </w:tcPr>
          <w:p w14:paraId="69D7463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情形7</w:t>
            </w:r>
          </w:p>
        </w:tc>
        <w:tc>
          <w:tcPr>
            <w:tcW w:w="6903" w:type="dxa"/>
          </w:tcPr>
          <w:p w14:paraId="34281C8B">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不符合磋商文件中规定的</w:t>
            </w:r>
            <w:r>
              <w:rPr>
                <w:rFonts w:hint="eastAsia" w:ascii="仿宋" w:hAnsi="仿宋" w:eastAsia="仿宋" w:cs="仿宋"/>
                <w:kern w:val="0"/>
                <w:sz w:val="24"/>
                <w:highlight w:val="none"/>
                <w:lang w:eastAsia="zh-CN"/>
              </w:rPr>
              <w:t>其他</w:t>
            </w:r>
            <w:r>
              <w:rPr>
                <w:rFonts w:hint="eastAsia" w:ascii="仿宋" w:hAnsi="仿宋" w:eastAsia="仿宋" w:cs="仿宋"/>
                <w:kern w:val="0"/>
                <w:sz w:val="24"/>
                <w:highlight w:val="none"/>
              </w:rPr>
              <w:t>实质性条款（比如：报价超过了磋商文件规定的最高限价）。</w:t>
            </w:r>
          </w:p>
        </w:tc>
      </w:tr>
    </w:tbl>
    <w:p w14:paraId="63B3D06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14.2.2其他情形</w:t>
      </w:r>
    </w:p>
    <w:p w14:paraId="612DA5D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包：1</w:t>
      </w:r>
    </w:p>
    <w:p w14:paraId="3F2BE80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包一般情形</w:t>
      </w:r>
    </w:p>
    <w:tbl>
      <w:tblPr>
        <w:tblStyle w:val="19"/>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818"/>
      </w:tblGrid>
      <w:tr w14:paraId="37367A1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818" w:type="dxa"/>
            <w:vAlign w:val="center"/>
          </w:tcPr>
          <w:p w14:paraId="39BE06F6">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明细</w:t>
            </w:r>
          </w:p>
        </w:tc>
      </w:tr>
      <w:tr w14:paraId="6BD5EE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818" w:type="dxa"/>
          </w:tcPr>
          <w:p w14:paraId="02869C57">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p>
        </w:tc>
      </w:tr>
    </w:tbl>
    <w:p w14:paraId="02FB467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技术符合性</w:t>
      </w:r>
    </w:p>
    <w:tbl>
      <w:tblPr>
        <w:tblStyle w:val="19"/>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698"/>
      </w:tblGrid>
      <w:tr w14:paraId="44D2CCC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98" w:type="dxa"/>
            <w:vAlign w:val="center"/>
          </w:tcPr>
          <w:p w14:paraId="7C9BA4A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明细</w:t>
            </w:r>
          </w:p>
        </w:tc>
      </w:tr>
      <w:tr w14:paraId="32D69F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98" w:type="dxa"/>
          </w:tcPr>
          <w:p w14:paraId="6631D939">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p>
        </w:tc>
      </w:tr>
    </w:tbl>
    <w:p w14:paraId="165ED9A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商务符合性</w:t>
      </w:r>
    </w:p>
    <w:tbl>
      <w:tblPr>
        <w:tblStyle w:val="19"/>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746"/>
      </w:tblGrid>
      <w:tr w14:paraId="49A882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jc w:val="center"/>
        </w:trPr>
        <w:tc>
          <w:tcPr>
            <w:tcW w:w="9746" w:type="dxa"/>
            <w:vAlign w:val="center"/>
          </w:tcPr>
          <w:p w14:paraId="5A9DFC0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明细</w:t>
            </w:r>
          </w:p>
        </w:tc>
      </w:tr>
      <w:tr w14:paraId="0B438A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746" w:type="dxa"/>
          </w:tcPr>
          <w:p w14:paraId="39411528">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p>
        </w:tc>
      </w:tr>
    </w:tbl>
    <w:p w14:paraId="4EF438A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附加符合性</w:t>
      </w:r>
    </w:p>
    <w:tbl>
      <w:tblPr>
        <w:tblStyle w:val="19"/>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788"/>
      </w:tblGrid>
      <w:tr w14:paraId="73F6AA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788" w:type="dxa"/>
            <w:vAlign w:val="center"/>
          </w:tcPr>
          <w:p w14:paraId="7A04BD24">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明细</w:t>
            </w:r>
          </w:p>
        </w:tc>
      </w:tr>
      <w:tr w14:paraId="49609F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788" w:type="dxa"/>
          </w:tcPr>
          <w:p w14:paraId="77A3D1A9">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p>
        </w:tc>
      </w:tr>
    </w:tbl>
    <w:p w14:paraId="419637D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价格符合性</w:t>
      </w:r>
    </w:p>
    <w:tbl>
      <w:tblPr>
        <w:tblStyle w:val="19"/>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791"/>
      </w:tblGrid>
      <w:tr w14:paraId="4ABA09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791" w:type="dxa"/>
            <w:vAlign w:val="center"/>
          </w:tcPr>
          <w:p w14:paraId="649D6AE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明细</w:t>
            </w:r>
          </w:p>
        </w:tc>
      </w:tr>
      <w:tr w14:paraId="78DAB2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791" w:type="dxa"/>
          </w:tcPr>
          <w:p w14:paraId="4634E05C">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p>
        </w:tc>
      </w:tr>
    </w:tbl>
    <w:p w14:paraId="20B9315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磋商小组决定供应商的响应性只根据响应文件本身的内容，而不寻求其他的外部证据。</w:t>
      </w:r>
    </w:p>
    <w:p w14:paraId="5566B9B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14.3磋商小组在对供应商进行响应文件资格审查、实质响应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w:t>
      </w:r>
    </w:p>
    <w:p w14:paraId="12DC88E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1</w:t>
      </w:r>
      <w:r>
        <w:rPr>
          <w:rFonts w:hint="eastAsia" w:ascii="仿宋" w:hAnsi="仿宋" w:eastAsia="仿宋" w:cs="仿宋"/>
          <w:kern w:val="0"/>
          <w:sz w:val="24"/>
          <w:szCs w:val="24"/>
          <w:highlight w:val="none"/>
          <w:lang w:eastAsia="zh-CN"/>
        </w:rPr>
        <w:t>）供应商</w:t>
      </w:r>
      <w:r>
        <w:rPr>
          <w:rFonts w:hint="eastAsia" w:ascii="仿宋" w:hAnsi="仿宋" w:eastAsia="仿宋" w:cs="仿宋"/>
          <w:kern w:val="0"/>
          <w:sz w:val="24"/>
          <w:szCs w:val="24"/>
          <w:highlight w:val="none"/>
        </w:rPr>
        <w:t>的澄清、说明或补正应由</w:t>
      </w:r>
      <w:r>
        <w:rPr>
          <w:rFonts w:hint="eastAsia" w:ascii="仿宋" w:hAnsi="仿宋" w:eastAsia="仿宋" w:cs="仿宋"/>
          <w:kern w:val="0"/>
          <w:sz w:val="24"/>
          <w:szCs w:val="24"/>
          <w:highlight w:val="none"/>
          <w:lang w:eastAsia="zh-CN"/>
        </w:rPr>
        <w:t>供应商</w:t>
      </w:r>
      <w:r>
        <w:rPr>
          <w:rFonts w:hint="eastAsia" w:ascii="仿宋" w:hAnsi="仿宋" w:eastAsia="仿宋" w:cs="仿宋"/>
          <w:kern w:val="0"/>
          <w:sz w:val="24"/>
          <w:szCs w:val="24"/>
          <w:highlight w:val="none"/>
        </w:rPr>
        <w:t>代表在</w:t>
      </w:r>
      <w:r>
        <w:rPr>
          <w:rFonts w:hint="eastAsia" w:ascii="仿宋" w:hAnsi="仿宋" w:eastAsia="仿宋" w:cs="仿宋"/>
          <w:kern w:val="0"/>
          <w:sz w:val="24"/>
          <w:szCs w:val="24"/>
          <w:highlight w:val="none"/>
          <w:lang w:eastAsia="zh-CN"/>
        </w:rPr>
        <w:t>磋商小组</w:t>
      </w:r>
      <w:r>
        <w:rPr>
          <w:rFonts w:hint="eastAsia" w:ascii="仿宋" w:hAnsi="仿宋" w:eastAsia="仿宋" w:cs="仿宋"/>
          <w:kern w:val="0"/>
          <w:sz w:val="24"/>
          <w:szCs w:val="24"/>
          <w:highlight w:val="none"/>
        </w:rPr>
        <w:t>规定的时间内（一般在半个小时左右，具体要求将根据实际情况在澄清通知中约定）以书面形式向</w:t>
      </w:r>
      <w:r>
        <w:rPr>
          <w:rFonts w:hint="eastAsia" w:ascii="仿宋" w:hAnsi="仿宋" w:eastAsia="仿宋" w:cs="仿宋"/>
          <w:kern w:val="0"/>
          <w:sz w:val="24"/>
          <w:szCs w:val="24"/>
          <w:highlight w:val="none"/>
          <w:lang w:eastAsia="zh-CN"/>
        </w:rPr>
        <w:t>磋商小组</w:t>
      </w:r>
      <w:r>
        <w:rPr>
          <w:rFonts w:hint="eastAsia" w:ascii="仿宋" w:hAnsi="仿宋" w:eastAsia="仿宋" w:cs="仿宋"/>
          <w:kern w:val="0"/>
          <w:sz w:val="24"/>
          <w:szCs w:val="24"/>
          <w:highlight w:val="none"/>
        </w:rPr>
        <w:t>提交，前述澄清、说明或补正不得超出</w:t>
      </w:r>
      <w:r>
        <w:rPr>
          <w:rFonts w:hint="eastAsia" w:ascii="仿宋" w:hAnsi="仿宋" w:eastAsia="仿宋" w:cs="仿宋"/>
          <w:kern w:val="0"/>
          <w:sz w:val="24"/>
          <w:szCs w:val="24"/>
          <w:highlight w:val="none"/>
          <w:lang w:eastAsia="zh-CN"/>
        </w:rPr>
        <w:t>响应文件</w:t>
      </w:r>
      <w:r>
        <w:rPr>
          <w:rFonts w:hint="eastAsia" w:ascii="仿宋" w:hAnsi="仿宋" w:eastAsia="仿宋" w:cs="仿宋"/>
          <w:kern w:val="0"/>
          <w:sz w:val="24"/>
          <w:szCs w:val="24"/>
          <w:highlight w:val="none"/>
        </w:rPr>
        <w:t>的范围或改变</w:t>
      </w:r>
      <w:r>
        <w:rPr>
          <w:rFonts w:hint="eastAsia" w:ascii="仿宋" w:hAnsi="仿宋" w:eastAsia="仿宋" w:cs="仿宋"/>
          <w:kern w:val="0"/>
          <w:sz w:val="24"/>
          <w:szCs w:val="24"/>
          <w:highlight w:val="none"/>
          <w:lang w:eastAsia="zh-CN"/>
        </w:rPr>
        <w:t>响应文件</w:t>
      </w:r>
      <w:r>
        <w:rPr>
          <w:rFonts w:hint="eastAsia" w:ascii="仿宋" w:hAnsi="仿宋" w:eastAsia="仿宋" w:cs="仿宋"/>
          <w:kern w:val="0"/>
          <w:sz w:val="24"/>
          <w:szCs w:val="24"/>
          <w:highlight w:val="none"/>
        </w:rPr>
        <w:t>的实质性内容。若</w:t>
      </w:r>
      <w:r>
        <w:rPr>
          <w:rFonts w:hint="eastAsia" w:ascii="仿宋" w:hAnsi="仿宋" w:eastAsia="仿宋" w:cs="仿宋"/>
          <w:kern w:val="0"/>
          <w:sz w:val="24"/>
          <w:szCs w:val="24"/>
          <w:highlight w:val="none"/>
          <w:lang w:eastAsia="zh-CN"/>
        </w:rPr>
        <w:t>供应商</w:t>
      </w:r>
      <w:r>
        <w:rPr>
          <w:rFonts w:hint="eastAsia" w:ascii="仿宋" w:hAnsi="仿宋" w:eastAsia="仿宋" w:cs="仿宋"/>
          <w:kern w:val="0"/>
          <w:sz w:val="24"/>
          <w:szCs w:val="24"/>
          <w:highlight w:val="none"/>
        </w:rPr>
        <w:t>未按照前述规定向</w:t>
      </w:r>
      <w:r>
        <w:rPr>
          <w:rFonts w:hint="eastAsia" w:ascii="仿宋" w:hAnsi="仿宋" w:eastAsia="仿宋" w:cs="仿宋"/>
          <w:kern w:val="0"/>
          <w:sz w:val="24"/>
          <w:szCs w:val="24"/>
          <w:highlight w:val="none"/>
          <w:lang w:eastAsia="zh-CN"/>
        </w:rPr>
        <w:t>磋商小组</w:t>
      </w:r>
      <w:r>
        <w:rPr>
          <w:rFonts w:hint="eastAsia" w:ascii="仿宋" w:hAnsi="仿宋" w:eastAsia="仿宋" w:cs="仿宋"/>
          <w:kern w:val="0"/>
          <w:sz w:val="24"/>
          <w:szCs w:val="24"/>
          <w:highlight w:val="none"/>
        </w:rPr>
        <w:t>提交书面澄清、说明或补正，则</w:t>
      </w:r>
      <w:r>
        <w:rPr>
          <w:rFonts w:hint="eastAsia" w:ascii="仿宋" w:hAnsi="仿宋" w:eastAsia="仿宋" w:cs="仿宋"/>
          <w:kern w:val="0"/>
          <w:sz w:val="24"/>
          <w:szCs w:val="24"/>
          <w:highlight w:val="none"/>
          <w:lang w:eastAsia="zh-CN"/>
        </w:rPr>
        <w:t>磋商小组</w:t>
      </w:r>
      <w:r>
        <w:rPr>
          <w:rFonts w:hint="eastAsia" w:ascii="仿宋" w:hAnsi="仿宋" w:eastAsia="仿宋" w:cs="仿宋"/>
          <w:kern w:val="0"/>
          <w:sz w:val="24"/>
          <w:szCs w:val="24"/>
          <w:highlight w:val="none"/>
        </w:rPr>
        <w:t>将按照不利于</w:t>
      </w:r>
      <w:r>
        <w:rPr>
          <w:rFonts w:hint="eastAsia" w:ascii="仿宋" w:hAnsi="仿宋" w:eastAsia="仿宋" w:cs="仿宋"/>
          <w:kern w:val="0"/>
          <w:sz w:val="24"/>
          <w:szCs w:val="24"/>
          <w:highlight w:val="none"/>
          <w:lang w:eastAsia="zh-CN"/>
        </w:rPr>
        <w:t>供应商</w:t>
      </w:r>
      <w:r>
        <w:rPr>
          <w:rFonts w:hint="eastAsia" w:ascii="仿宋" w:hAnsi="仿宋" w:eastAsia="仿宋" w:cs="仿宋"/>
          <w:kern w:val="0"/>
          <w:sz w:val="24"/>
          <w:szCs w:val="24"/>
          <w:highlight w:val="none"/>
        </w:rPr>
        <w:t>的内容进行认定。</w:t>
      </w:r>
    </w:p>
    <w:p w14:paraId="7D27236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2</w:t>
      </w:r>
      <w:r>
        <w:rPr>
          <w:rFonts w:hint="eastAsia" w:ascii="仿宋" w:hAnsi="仿宋" w:eastAsia="仿宋" w:cs="仿宋"/>
          <w:kern w:val="0"/>
          <w:sz w:val="24"/>
          <w:szCs w:val="24"/>
          <w:highlight w:val="none"/>
          <w:lang w:eastAsia="zh-CN"/>
        </w:rPr>
        <w:t>）响应文件的首次</w:t>
      </w:r>
      <w:r>
        <w:rPr>
          <w:rFonts w:hint="eastAsia" w:ascii="仿宋" w:hAnsi="仿宋" w:eastAsia="仿宋" w:cs="仿宋"/>
          <w:kern w:val="0"/>
          <w:sz w:val="24"/>
          <w:szCs w:val="24"/>
          <w:highlight w:val="none"/>
        </w:rPr>
        <w:t>报价出现前后不一致的，除</w:t>
      </w:r>
      <w:r>
        <w:rPr>
          <w:rFonts w:hint="eastAsia" w:ascii="仿宋" w:hAnsi="仿宋" w:eastAsia="仿宋" w:cs="仿宋"/>
          <w:kern w:val="0"/>
          <w:sz w:val="24"/>
          <w:szCs w:val="24"/>
          <w:highlight w:val="none"/>
          <w:lang w:val="en-US" w:eastAsia="zh-CN"/>
        </w:rPr>
        <w:t>磋商文件</w:t>
      </w:r>
      <w:r>
        <w:rPr>
          <w:rFonts w:hint="eastAsia" w:ascii="仿宋" w:hAnsi="仿宋" w:eastAsia="仿宋" w:cs="仿宋"/>
          <w:kern w:val="0"/>
          <w:sz w:val="24"/>
          <w:szCs w:val="24"/>
          <w:highlight w:val="none"/>
        </w:rPr>
        <w:t>另有规定外，按照下列规定修正：</w:t>
      </w:r>
    </w:p>
    <w:p w14:paraId="612DE53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①</w:t>
      </w:r>
      <w:r>
        <w:rPr>
          <w:rFonts w:hint="eastAsia" w:ascii="仿宋" w:hAnsi="仿宋" w:eastAsia="仿宋" w:cs="仿宋"/>
          <w:kern w:val="0"/>
          <w:sz w:val="24"/>
          <w:szCs w:val="24"/>
          <w:highlight w:val="none"/>
          <w:lang w:val="en-US" w:eastAsia="zh-CN"/>
        </w:rPr>
        <w:t>报价</w:t>
      </w:r>
      <w:r>
        <w:rPr>
          <w:rFonts w:hint="eastAsia" w:ascii="仿宋" w:hAnsi="仿宋" w:eastAsia="仿宋" w:cs="仿宋"/>
          <w:kern w:val="0"/>
          <w:sz w:val="24"/>
          <w:szCs w:val="24"/>
          <w:highlight w:val="none"/>
        </w:rPr>
        <w:t>一览表内容与</w:t>
      </w:r>
      <w:r>
        <w:rPr>
          <w:rFonts w:hint="eastAsia" w:ascii="仿宋" w:hAnsi="仿宋" w:eastAsia="仿宋" w:cs="仿宋"/>
          <w:kern w:val="0"/>
          <w:sz w:val="24"/>
          <w:szCs w:val="24"/>
          <w:highlight w:val="none"/>
          <w:lang w:eastAsia="zh-CN"/>
        </w:rPr>
        <w:t>响应文件</w:t>
      </w:r>
      <w:r>
        <w:rPr>
          <w:rFonts w:hint="eastAsia" w:ascii="仿宋" w:hAnsi="仿宋" w:eastAsia="仿宋" w:cs="仿宋"/>
          <w:kern w:val="0"/>
          <w:sz w:val="24"/>
          <w:szCs w:val="24"/>
          <w:highlight w:val="none"/>
        </w:rPr>
        <w:t>中相应内容不一致的，以</w:t>
      </w:r>
      <w:r>
        <w:rPr>
          <w:rFonts w:hint="eastAsia" w:ascii="仿宋" w:hAnsi="仿宋" w:eastAsia="仿宋" w:cs="仿宋"/>
          <w:kern w:val="0"/>
          <w:sz w:val="24"/>
          <w:szCs w:val="24"/>
          <w:highlight w:val="none"/>
          <w:lang w:val="en-US" w:eastAsia="zh-CN"/>
        </w:rPr>
        <w:t>报价</w:t>
      </w:r>
      <w:r>
        <w:rPr>
          <w:rFonts w:hint="eastAsia" w:ascii="仿宋" w:hAnsi="仿宋" w:eastAsia="仿宋" w:cs="仿宋"/>
          <w:kern w:val="0"/>
          <w:sz w:val="24"/>
          <w:szCs w:val="24"/>
          <w:highlight w:val="none"/>
        </w:rPr>
        <w:t>一览表为准；</w:t>
      </w:r>
    </w:p>
    <w:p w14:paraId="7510A46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②大写金额和小写金额不一致的，以大写金额为准；</w:t>
      </w:r>
    </w:p>
    <w:p w14:paraId="04FF850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③单价金额小数点或百分比有明显错位的，以</w:t>
      </w:r>
      <w:r>
        <w:rPr>
          <w:rFonts w:hint="eastAsia" w:ascii="仿宋" w:hAnsi="仿宋" w:eastAsia="仿宋" w:cs="仿宋"/>
          <w:kern w:val="0"/>
          <w:sz w:val="24"/>
          <w:szCs w:val="24"/>
          <w:highlight w:val="none"/>
          <w:lang w:val="en-US" w:eastAsia="zh-CN"/>
        </w:rPr>
        <w:t>报价</w:t>
      </w:r>
      <w:r>
        <w:rPr>
          <w:rFonts w:hint="eastAsia" w:ascii="仿宋" w:hAnsi="仿宋" w:eastAsia="仿宋" w:cs="仿宋"/>
          <w:kern w:val="0"/>
          <w:sz w:val="24"/>
          <w:szCs w:val="24"/>
          <w:highlight w:val="none"/>
        </w:rPr>
        <w:t>一览表的总价为准，并修改单价；</w:t>
      </w:r>
    </w:p>
    <w:p w14:paraId="33746FC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④总价金额与按照单价汇总金额不一致的，以单价金额计算结果为准。</w:t>
      </w:r>
    </w:p>
    <w:p w14:paraId="1B6BBD87">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b/>
          <w:bCs/>
          <w:kern w:val="0"/>
          <w:sz w:val="24"/>
          <w:szCs w:val="24"/>
          <w:highlight w:val="none"/>
        </w:rPr>
        <w:t>※同时出现两种以上不一致的，按照前款规定的顺序修正。修正后的报价应按照本章第6.3条第（1）、（2）款规定经</w:t>
      </w:r>
      <w:r>
        <w:rPr>
          <w:rFonts w:hint="eastAsia" w:ascii="仿宋" w:hAnsi="仿宋" w:eastAsia="仿宋" w:cs="仿宋"/>
          <w:b/>
          <w:bCs/>
          <w:kern w:val="0"/>
          <w:sz w:val="24"/>
          <w:szCs w:val="24"/>
          <w:highlight w:val="none"/>
          <w:lang w:eastAsia="zh-CN"/>
        </w:rPr>
        <w:t>供应商</w:t>
      </w:r>
      <w:r>
        <w:rPr>
          <w:rFonts w:hint="eastAsia" w:ascii="仿宋" w:hAnsi="仿宋" w:eastAsia="仿宋" w:cs="仿宋"/>
          <w:b/>
          <w:bCs/>
          <w:kern w:val="0"/>
          <w:sz w:val="24"/>
          <w:szCs w:val="24"/>
          <w:highlight w:val="none"/>
        </w:rPr>
        <w:t>确认后产生约束力，</w:t>
      </w:r>
      <w:r>
        <w:rPr>
          <w:rFonts w:hint="eastAsia" w:ascii="仿宋" w:hAnsi="仿宋" w:eastAsia="仿宋" w:cs="仿宋"/>
          <w:b/>
          <w:bCs/>
          <w:kern w:val="0"/>
          <w:sz w:val="24"/>
          <w:szCs w:val="24"/>
          <w:highlight w:val="none"/>
          <w:lang w:eastAsia="zh-CN"/>
        </w:rPr>
        <w:t>供应商</w:t>
      </w:r>
      <w:r>
        <w:rPr>
          <w:rFonts w:hint="eastAsia" w:ascii="仿宋" w:hAnsi="仿宋" w:eastAsia="仿宋" w:cs="仿宋"/>
          <w:b/>
          <w:bCs/>
          <w:kern w:val="0"/>
          <w:sz w:val="24"/>
          <w:szCs w:val="24"/>
          <w:highlight w:val="none"/>
        </w:rPr>
        <w:t>不确认的，其</w:t>
      </w:r>
      <w:r>
        <w:rPr>
          <w:rFonts w:hint="eastAsia" w:ascii="仿宋" w:hAnsi="仿宋" w:eastAsia="仿宋" w:cs="仿宋"/>
          <w:b/>
          <w:bCs/>
          <w:kern w:val="0"/>
          <w:sz w:val="24"/>
          <w:szCs w:val="24"/>
          <w:highlight w:val="none"/>
          <w:lang w:val="en-US" w:eastAsia="zh-CN"/>
        </w:rPr>
        <w:t>报价</w:t>
      </w:r>
      <w:r>
        <w:rPr>
          <w:rFonts w:hint="eastAsia" w:ascii="仿宋" w:hAnsi="仿宋" w:eastAsia="仿宋" w:cs="仿宋"/>
          <w:b/>
          <w:bCs/>
          <w:kern w:val="0"/>
          <w:sz w:val="24"/>
          <w:szCs w:val="24"/>
          <w:highlight w:val="none"/>
        </w:rPr>
        <w:t>无效。</w:t>
      </w:r>
    </w:p>
    <w:p w14:paraId="07500CD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14.4只有资格审查和实质性响应审查合格的供应商才能进入磋商阶段。磋商小组所有成员将集中与单一供应商分别进行磋商，并给予所有参加磋商的合格供应商平等的磋商机会。磋商过程中，磋商小组可以根据磋商文件和磋商情况实质性变动采购需求中的技术、服务要求以及合同草案条款，但不得变动竞争性磋商文件中的其他内容。实质性变动的内容，须经采购人代表确认。磋商过程中对磋商文件作出的实质性变动是磋商文件的有效组成部分，磋商小组将及时以书面形式同时通知所有参加磋商的供应商。根据采购项目的特点和需要，在磋商过程中可能发生实质性变动的内容详见竞争性磋商须知前附表第</w:t>
      </w:r>
      <w:r>
        <w:rPr>
          <w:rFonts w:hint="eastAsia" w:ascii="仿宋" w:hAnsi="仿宋" w:eastAsia="仿宋" w:cs="仿宋"/>
          <w:kern w:val="0"/>
          <w:sz w:val="24"/>
          <w:highlight w:val="none"/>
          <w:u w:val="single"/>
        </w:rPr>
        <w:t>8</w:t>
      </w:r>
      <w:r>
        <w:rPr>
          <w:rFonts w:hint="eastAsia" w:ascii="仿宋" w:hAnsi="仿宋" w:eastAsia="仿宋" w:cs="仿宋"/>
          <w:kern w:val="0"/>
          <w:sz w:val="24"/>
          <w:highlight w:val="none"/>
        </w:rPr>
        <w:t>项。</w:t>
      </w:r>
    </w:p>
    <w:p w14:paraId="7119C29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14.5合格供应商应当按照磋商文件的变动情况和磋商小组的要求提交补充响应文件（首次响应文件中已经提交过的如资格证明文件等资料，不用重新提供），并由供应商代表签字或加盖供应商单位公章。供应商代表如果不是竞争性磋商须知中定义的“单位负责人”，则还必须提供“单位负责人授权书”。供应商为自然人的，应当由本人签字并附身份证明。</w:t>
      </w:r>
    </w:p>
    <w:p w14:paraId="1812A21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14.6磋商文件能够详细列明采购标的的技术、服务要求的，磋商结束后，磋商小组应当要求所有实质性响应的合格供应商在规定时间内提交最后报价。</w:t>
      </w:r>
    </w:p>
    <w:p w14:paraId="3BC083F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14.7磋商文件不能详细列明采购标的的技术、服务要求，需经磋商由供应商提供最终设计方案或解决方案的，磋商结束后，磋商小组应当按照少数服从多数的原则投票推荐3家及以上供应商的设计方案或者解决方案，具体推荐数量和投票细则等内容按照“竞争性磋商须知前附表”中专项附件：“评审的标准和方法”的相关条款规定执行，并要求其在规定时间内提交最后报价。</w:t>
      </w:r>
    </w:p>
    <w:p w14:paraId="09371A9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14.8最后报价是供应商响应文件的有效组成部分。如果供应商的最后报价明显低于其他最后报价，使得其最后报价有可能影响商品或服务质量或者不能诚信履约的，供应商应当按照磋商小组要求，在规定时间内作出书面说明，必要时提交相关证明材料；供应商不能合理说明其报价合理性的，磋商小组可以做无效响应文件和无效报价处理。</w:t>
      </w:r>
    </w:p>
    <w:p w14:paraId="206B9B6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14.9磋商小组将采用综合评分法对提交最后报价的供应商的响应文件和最后报价进行综合评分，具体评审的标准和方法详见竞争性磋商须知前附表第9项。磋商小组根据综合评分情况，按照评审得分由高到低顺序推荐3名及以上成交候选供应商，并编写评审报告。</w:t>
      </w:r>
      <w:r>
        <w:rPr>
          <w:rFonts w:hint="eastAsia" w:ascii="仿宋" w:hAnsi="仿宋" w:eastAsia="仿宋" w:cs="仿宋"/>
          <w:sz w:val="24"/>
          <w:highlight w:val="none"/>
        </w:rPr>
        <w:t>属于《政府采购非招标采购方式管理办法》</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《福建省财政厅关于政府采购执行过程中有关规定的通知》、《福建省财政厅关于政府采购执行过程中有关规定的通知》</w:t>
      </w:r>
      <w:r>
        <w:rPr>
          <w:rFonts w:hint="eastAsia" w:ascii="仿宋" w:hAnsi="仿宋" w:eastAsia="仿宋" w:cs="仿宋"/>
          <w:kern w:val="0"/>
          <w:sz w:val="24"/>
          <w:highlight w:val="none"/>
        </w:rPr>
        <w:t>等相关法律法规及财政部门颁布的规范性文件允许的</w:t>
      </w:r>
      <w:r>
        <w:rPr>
          <w:rFonts w:hint="eastAsia" w:ascii="仿宋" w:hAnsi="仿宋" w:eastAsia="仿宋" w:cs="仿宋"/>
          <w:kern w:val="0"/>
          <w:sz w:val="24"/>
          <w:highlight w:val="none"/>
          <w:lang w:eastAsia="zh-CN"/>
        </w:rPr>
        <w:t>2家</w:t>
      </w:r>
      <w:r>
        <w:rPr>
          <w:rFonts w:hint="eastAsia" w:ascii="仿宋" w:hAnsi="仿宋" w:eastAsia="仿宋" w:cs="仿宋"/>
          <w:kern w:val="0"/>
          <w:sz w:val="24"/>
          <w:highlight w:val="none"/>
        </w:rPr>
        <w:t>供应商进行竞争性磋商采购情形，则可以按照评审得分由高到低顺序推荐2名成交候选供应商。如果成交候选供应商出现并列相同的评审得分，则相应处理方式按照“竞争性磋商须知前附表”中专项附件：“评审的标准和方法”的相关条款规定执行。</w:t>
      </w:r>
    </w:p>
    <w:p w14:paraId="37B5446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14.10供应商提交的响应文件和资料将给予保密，但不退回（有关证件或证照的原件除外）。</w:t>
      </w:r>
    </w:p>
    <w:p w14:paraId="02AADFFB">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15" w:name="_Toc23242"/>
      <w:r>
        <w:rPr>
          <w:rFonts w:hint="eastAsia" w:ascii="仿宋" w:hAnsi="仿宋" w:eastAsia="仿宋" w:cs="仿宋"/>
          <w:b/>
          <w:bCs/>
          <w:sz w:val="28"/>
          <w:szCs w:val="32"/>
          <w:highlight w:val="none"/>
        </w:rPr>
        <w:t>五、合同授予</w:t>
      </w:r>
      <w:bookmarkEnd w:id="15"/>
    </w:p>
    <w:p w14:paraId="308F83F2">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15.授予合同的准则：</w:t>
      </w:r>
    </w:p>
    <w:p w14:paraId="3B68CED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15.1除不可抗力等因素外，合同将授予响应文件符合竞争性磋商文件要求，能够圆满地履行合同，且被磋商小组推荐为第一成交候选人的供应商。</w:t>
      </w:r>
    </w:p>
    <w:p w14:paraId="76C085B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15.2 采购合同履行中，采购人需追加与合同标的相同的货物、工程或者服务的，在不改变合同其他条款的前提下，可以与</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协商签订补充合同，但所有补充合同的采购金额不得超过原合同采购金额的百分之十。</w:t>
      </w:r>
    </w:p>
    <w:p w14:paraId="492726C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15.3为维护国家利益和社会公共利益，最低报价不是被授予合同的绝对保证。</w:t>
      </w:r>
    </w:p>
    <w:p w14:paraId="761D0752">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16.确定成交供应商：</w:t>
      </w:r>
    </w:p>
    <w:p w14:paraId="5368242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16.1采购人委托代理机构组织竞争性磋商采购活动的，采购代理机构在评审结束后2个工作日内将评审报告送采购人确认。</w:t>
      </w:r>
    </w:p>
    <w:p w14:paraId="1847579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16.2采购人在收到评审报告后5个工作日内，从评审报告提出的成交候选人中，按照综合评分得分排序由高到低的原则确定</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，也可以书面授权磋商小组直接确定</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。采购人逾期未确定</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且不提出异议的，视为确定评审报告提出的排序第一的供应商为</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w:t>
      </w:r>
    </w:p>
    <w:p w14:paraId="382C42D4">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lang w:eastAsia="zh-CN"/>
        </w:rPr>
      </w:pPr>
      <w:r>
        <w:rPr>
          <w:rFonts w:hint="eastAsia" w:ascii="仿宋" w:hAnsi="仿宋" w:eastAsia="仿宋" w:cs="仿宋"/>
          <w:b/>
          <w:bCs/>
          <w:kern w:val="0"/>
          <w:sz w:val="24"/>
          <w:highlight w:val="none"/>
        </w:rPr>
        <w:t>17.成交通知</w:t>
      </w:r>
      <w:r>
        <w:rPr>
          <w:rFonts w:hint="eastAsia" w:ascii="仿宋" w:hAnsi="仿宋" w:eastAsia="仿宋" w:cs="仿宋"/>
          <w:b/>
          <w:bCs/>
          <w:kern w:val="0"/>
          <w:sz w:val="24"/>
          <w:highlight w:val="none"/>
          <w:lang w:eastAsia="zh-CN"/>
        </w:rPr>
        <w:t>：</w:t>
      </w:r>
    </w:p>
    <w:p w14:paraId="0AA7410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17.1采购人或者采购代理机构在</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确定后2个工作日内，在指定的媒体上公告成交结果，同时向</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发出成交通知书。采用书面推荐供应商参加采购活动的，还将公告采购人和评审专家的推荐意见。</w:t>
      </w:r>
    </w:p>
    <w:p w14:paraId="0C83B8C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17.2成交通知书对采购人和</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具有同等法律效力。除不可抗力因素或政策原因外，成交通知书发出后，采购人改变成交结果，或者</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拒绝签订采购合同的，均应当承担相应的法律责任。未</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对成交结果公告如果有异议的，应当自成交结果公告刊登之日起7个工作日内，以书面形式向采购人或采购代理机构提出质疑，有关质疑、投诉的相关规定和要求，按照《中华人民共和国政府采购法》、《中华人民共和国政府采购法实施条例》、有关财政部规章等法律文件规定执行。</w:t>
      </w:r>
    </w:p>
    <w:p w14:paraId="7E32E51A">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18.签订合同：</w:t>
      </w:r>
    </w:p>
    <w:p w14:paraId="0A708ED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18.1采购人与</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应当自</w:t>
      </w:r>
      <w:r>
        <w:rPr>
          <w:rFonts w:hint="eastAsia" w:ascii="仿宋" w:hAnsi="仿宋" w:eastAsia="仿宋" w:cs="仿宋"/>
          <w:kern w:val="0"/>
          <w:sz w:val="24"/>
          <w:highlight w:val="none"/>
          <w:lang w:eastAsia="zh-CN"/>
        </w:rPr>
        <w:t>成交</w:t>
      </w:r>
      <w:r>
        <w:rPr>
          <w:rFonts w:hint="eastAsia" w:ascii="仿宋" w:hAnsi="仿宋" w:eastAsia="仿宋" w:cs="仿宋"/>
          <w:kern w:val="0"/>
          <w:sz w:val="24"/>
          <w:highlight w:val="none"/>
        </w:rPr>
        <w:t>通知书发出之日起</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0个日历日内。按照采购文件确定的合同文本以及采购标的、规格型号、采购金额、采购数量、技术和服务要求等事项签订采购合同。根据项目的特点和需要，采购人如果对签订合同的时间期限、地点有特别要求的，可以在成交通知书中进一步明确，</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应当按照成交通知书的规定和要求，及时与采购人签订合同。</w:t>
      </w:r>
    </w:p>
    <w:p w14:paraId="7B009D5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18.2竞争性磋商文件、</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的响应文件及其有关澄清承诺文件等，均为签订采购合同的依据和组成部分。</w:t>
      </w:r>
    </w:p>
    <w:p w14:paraId="388F279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18.3采购人不得向</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提出超出竞争性磋商文件以外的任何要求作为签订合同的条件，不得与</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订立背离竞争性磋商文件确定的合同文本以及采购标的、规格型号、采购金额、采购数量、技术和服务要求等实质性内容的协议。</w:t>
      </w:r>
    </w:p>
    <w:p w14:paraId="1FB655A7">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16" w:name="_Toc12801"/>
      <w:r>
        <w:rPr>
          <w:rFonts w:hint="eastAsia" w:ascii="仿宋" w:hAnsi="仿宋" w:eastAsia="仿宋" w:cs="仿宋"/>
          <w:b/>
          <w:bCs/>
          <w:sz w:val="28"/>
          <w:szCs w:val="32"/>
          <w:highlight w:val="none"/>
        </w:rPr>
        <w:t>六、询问、质疑与投诉</w:t>
      </w:r>
      <w:bookmarkEnd w:id="16"/>
    </w:p>
    <w:p w14:paraId="42FC7482">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19.询问</w:t>
      </w:r>
    </w:p>
    <w:p w14:paraId="61BF7C5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19.1潜在供应商或供应商对本次采购活动的有关事项若有疑问，可向采购人或采购代理机构提出询问，采购人或采购代理机构将按照</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中华人民共和国政府采购法</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及实施条例的有关规定进行答复。</w:t>
      </w:r>
    </w:p>
    <w:p w14:paraId="27CDBE9F">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20.质疑</w:t>
      </w:r>
    </w:p>
    <w:p w14:paraId="09515AC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20.1质疑应在</w:t>
      </w:r>
      <w:r>
        <w:rPr>
          <w:rFonts w:hint="eastAsia" w:ascii="仿宋" w:hAnsi="仿宋" w:eastAsia="仿宋" w:cs="仿宋"/>
          <w:kern w:val="0"/>
          <w:sz w:val="24"/>
          <w:highlight w:val="none"/>
          <w:lang w:eastAsia="zh-CN"/>
        </w:rPr>
        <w:t>《中华人民共和国政府采购法》</w:t>
      </w:r>
      <w:r>
        <w:rPr>
          <w:rFonts w:hint="eastAsia" w:ascii="仿宋" w:hAnsi="仿宋" w:eastAsia="仿宋" w:cs="仿宋"/>
          <w:kern w:val="0"/>
          <w:sz w:val="24"/>
          <w:highlight w:val="none"/>
        </w:rPr>
        <w:t>及实施条例规定的时效内提出，针对同一采购程序环节的质疑一次性提出，对一个项目的不同采购包提出质疑的，应当将各采购包质疑事项集中在一份质疑函中提出，并同时符合下列条件，</w:t>
      </w:r>
      <w:r>
        <w:rPr>
          <w:rFonts w:hint="eastAsia" w:ascii="仿宋" w:hAnsi="仿宋" w:eastAsia="仿宋" w:cs="仿宋"/>
          <w:b/>
          <w:bCs/>
          <w:kern w:val="0"/>
          <w:sz w:val="24"/>
          <w:highlight w:val="none"/>
        </w:rPr>
        <w:t>否则将认定质疑不成立</w:t>
      </w:r>
      <w:r>
        <w:rPr>
          <w:rFonts w:hint="eastAsia" w:ascii="仿宋" w:hAnsi="仿宋" w:eastAsia="仿宋" w:cs="仿宋"/>
          <w:kern w:val="0"/>
          <w:sz w:val="24"/>
          <w:highlight w:val="none"/>
        </w:rPr>
        <w:t>：</w:t>
      </w:r>
    </w:p>
    <w:p w14:paraId="7C54E50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20.1.1对磋商文件提出质疑的，质疑人应为潜在供应商，且两者的身份、名称等均应保持一致。对采购过程、结果提出质疑的，质疑人应为供应商，且两者的身份、名称等均应保持一致。提出质疑的供应商应当是参与所质疑项目采购活动的供应商。</w:t>
      </w:r>
    </w:p>
    <w:p w14:paraId="22843B4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20.1.2质疑人应提交质疑函原件。</w:t>
      </w:r>
    </w:p>
    <w:p w14:paraId="18493F9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20.1.3质疑函应包括下列主要内容：</w:t>
      </w:r>
    </w:p>
    <w:p w14:paraId="6152ECB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①质疑人的基本信息，至少包括：全称、地址、邮政编码、联系人及联系电话等；适合自然人参加磋商的采购项目且质疑人为自然人的，质疑人提供本人的身份证复印件。质疑人为法人或其他组织的，提供统一社会信用代码营业执照或者组织机构登记证件复印件、单位负责人的身份证复印件；质疑人代表为委托代理人的，还应同时提供单位负责人授权书和委托代理人的身份证复印件。</w:t>
      </w:r>
    </w:p>
    <w:p w14:paraId="0E9116C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②所质疑项目的基本信息，至少包括：项目编号、项目名称等；</w:t>
      </w:r>
    </w:p>
    <w:p w14:paraId="197016B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③所质疑的具体事项（以下简称：“质疑事项”）；</w:t>
      </w:r>
    </w:p>
    <w:p w14:paraId="774561F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④质疑人自身权益受到损害的事实依据和证明材料，至少包括：</w:t>
      </w:r>
    </w:p>
    <w:p w14:paraId="15981B7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a1所质疑的具体事项事实存在的证明材料；</w:t>
      </w:r>
    </w:p>
    <w:p w14:paraId="3224897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a2所质疑的具体事项事实导致质疑人自身权益受到损害的证明材料，如：采购文件、采购过程或成交结果违法违规，损害</w:t>
      </w:r>
      <w:r>
        <w:rPr>
          <w:rFonts w:hint="eastAsia" w:ascii="仿宋" w:hAnsi="仿宋" w:eastAsia="仿宋" w:cs="仿宋"/>
          <w:kern w:val="0"/>
          <w:sz w:val="24"/>
          <w:highlight w:val="none"/>
          <w:lang w:eastAsia="zh-CN"/>
        </w:rPr>
        <w:t>自己</w:t>
      </w:r>
      <w:r>
        <w:rPr>
          <w:rFonts w:hint="eastAsia" w:ascii="仿宋" w:hAnsi="仿宋" w:eastAsia="仿宋" w:cs="仿宋"/>
          <w:kern w:val="0"/>
          <w:sz w:val="24"/>
          <w:highlight w:val="none"/>
        </w:rPr>
        <w:t>合法权益等证明材料；</w:t>
      </w:r>
    </w:p>
    <w:p w14:paraId="1C4FF80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备注：若质疑的具体事项按照有关法律、法规和规章规定处于应当保密阶段，则应提供信息或证明材料为合法或公开渠道获得的有效证据（若证据无法有效表明信息或证明材料为合法或公开渠道获得，则前述信息或证明材料视为无效）。</w:t>
      </w:r>
    </w:p>
    <w:p w14:paraId="783C2BC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⑤针对质疑事项提出的明确请求和法律依据，</w:t>
      </w:r>
    </w:p>
    <w:p w14:paraId="7A09F09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前述明确请求指质疑人提出质疑的目的、希望采购人或采购代理机构对其质疑作出的处理结果，如：暂停采购活动、修改磋商文件、停止或纠正违法违规行为、成交结果无效、废标、重新采购等，质疑人提出质疑请求还应当对相应的法律依据进行说明。</w:t>
      </w:r>
    </w:p>
    <w:p w14:paraId="387A8BE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⑥提出质疑的日期以及质疑人代表联系方式，至少包括：姓名、手机、电子信箱、邮寄地址等。</w:t>
      </w:r>
    </w:p>
    <w:p w14:paraId="08D0F20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20.2对不符合前文第20.1条规定的质疑，采购人或采购代理机构将按照下列规定进行处理：</w:t>
      </w:r>
    </w:p>
    <w:p w14:paraId="6747B2A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20.2.1超过质疑时效提交的或者质疑人不是参与所质疑项目采购活动的供应商，书面告知质疑人其质疑不成立的原因和理由。</w:t>
      </w:r>
    </w:p>
    <w:p w14:paraId="6A9C66B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20.2.2质疑函内容不符合规定的，告知质疑人修改、补充后在</w:t>
      </w:r>
      <w:r>
        <w:rPr>
          <w:rFonts w:hint="eastAsia" w:ascii="仿宋" w:hAnsi="仿宋" w:eastAsia="仿宋" w:cs="仿宋"/>
          <w:kern w:val="0"/>
          <w:sz w:val="24"/>
          <w:highlight w:val="none"/>
          <w:lang w:eastAsia="zh-CN"/>
        </w:rPr>
        <w:t>《中华人民共和国政府采购法》</w:t>
      </w:r>
      <w:r>
        <w:rPr>
          <w:rFonts w:hint="eastAsia" w:ascii="仿宋" w:hAnsi="仿宋" w:eastAsia="仿宋" w:cs="仿宋"/>
          <w:kern w:val="0"/>
          <w:sz w:val="24"/>
          <w:highlight w:val="none"/>
        </w:rPr>
        <w:t>及实施条例规定的时效内重新提交质疑函原件。质疑人拒不修改或补充的，则采购人或采购代理机构应当在质疑答复期内书面告知对方质疑不成立的原因和理由。</w:t>
      </w:r>
    </w:p>
    <w:p w14:paraId="4E55060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20.2.3质疑人修改、补充质疑函超过质疑时效提交的按20.2.1款处理。供应商提交质疑函时，要认真阅读本章第20条关于质疑的相关规定，以免内容或资料不齐，需要修改补充而延误时间。</w:t>
      </w:r>
    </w:p>
    <w:p w14:paraId="6345FF6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20.3对符合前文第20.1条规定的质疑，采购人或采购代理机构将按照</w:t>
      </w:r>
      <w:r>
        <w:rPr>
          <w:rFonts w:hint="eastAsia" w:ascii="仿宋" w:hAnsi="仿宋" w:eastAsia="仿宋" w:cs="仿宋"/>
          <w:kern w:val="0"/>
          <w:sz w:val="24"/>
          <w:highlight w:val="none"/>
          <w:lang w:eastAsia="zh-CN"/>
        </w:rPr>
        <w:t>《中华人民共和国政府采购法》</w:t>
      </w:r>
      <w:r>
        <w:rPr>
          <w:rFonts w:hint="eastAsia" w:ascii="仿宋" w:hAnsi="仿宋" w:eastAsia="仿宋" w:cs="仿宋"/>
          <w:kern w:val="0"/>
          <w:sz w:val="24"/>
          <w:highlight w:val="none"/>
        </w:rPr>
        <w:t>及实施条例的有关规定进行答复。</w:t>
      </w:r>
    </w:p>
    <w:p w14:paraId="59300576">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21.投诉</w:t>
      </w:r>
    </w:p>
    <w:p w14:paraId="68A1C0A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21.1若对质疑答复不满意或质疑答复未在答复期限内作出，质疑人可在答复期限届满之日起15个工作日内向磋商文件中载明的监督管理部门投诉。</w:t>
      </w:r>
    </w:p>
    <w:p w14:paraId="6F76777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21.2投诉应有明确的请求和必要的证明材料，投诉的事项不得超出已质疑事项的范围。</w:t>
      </w:r>
    </w:p>
    <w:p w14:paraId="788C9F22">
      <w:pPr>
        <w:pStyle w:val="15"/>
        <w:pageBreakBefore w:val="0"/>
        <w:widowControl w:val="0"/>
        <w:numPr>
          <w:ilvl w:val="0"/>
          <w:numId w:val="0"/>
        </w:numPr>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17" w:name="_Toc14730"/>
      <w:r>
        <w:rPr>
          <w:rFonts w:hint="eastAsia" w:ascii="仿宋" w:hAnsi="仿宋" w:eastAsia="仿宋" w:cs="仿宋"/>
          <w:b/>
          <w:bCs/>
          <w:sz w:val="28"/>
          <w:szCs w:val="32"/>
          <w:highlight w:val="none"/>
          <w:lang w:val="en-US" w:eastAsia="zh-CN"/>
        </w:rPr>
        <w:t>七</w:t>
      </w:r>
      <w:r>
        <w:rPr>
          <w:rFonts w:hint="eastAsia" w:ascii="仿宋" w:hAnsi="仿宋" w:eastAsia="仿宋" w:cs="仿宋"/>
          <w:b/>
          <w:bCs/>
          <w:sz w:val="28"/>
          <w:szCs w:val="32"/>
          <w:highlight w:val="none"/>
        </w:rPr>
        <w:t>、有关信息公告和监督部门</w:t>
      </w:r>
      <w:bookmarkEnd w:id="17"/>
    </w:p>
    <w:p w14:paraId="643E0520">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22.采购信息公告媒体</w:t>
      </w:r>
    </w:p>
    <w:p w14:paraId="555FD79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22.1本项目的有关信息，包括但不限于采购公告、更正公告（若有）、磋商文件、磋商文件的澄清或修改（若有）、成交公告、终止公告（若有）、废标公告（若有）等都将在磋商文件载明的指定媒体发布。潜在供应商或供应商务必随时关注，以免遗漏。</w:t>
      </w:r>
    </w:p>
    <w:p w14:paraId="078A482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22.2信息公告指定媒体：详见竞争性磋商须知前附表第</w:t>
      </w:r>
      <w:r>
        <w:rPr>
          <w:rFonts w:hint="eastAsia" w:ascii="仿宋" w:hAnsi="仿宋" w:eastAsia="仿宋" w:cs="仿宋"/>
          <w:kern w:val="0"/>
          <w:sz w:val="24"/>
          <w:highlight w:val="none"/>
          <w:u w:val="single"/>
        </w:rPr>
        <w:t>11</w:t>
      </w:r>
      <w:r>
        <w:rPr>
          <w:rFonts w:hint="eastAsia" w:ascii="仿宋" w:hAnsi="仿宋" w:eastAsia="仿宋" w:cs="仿宋"/>
          <w:kern w:val="0"/>
          <w:sz w:val="24"/>
          <w:highlight w:val="none"/>
        </w:rPr>
        <w:t>项。</w:t>
      </w:r>
    </w:p>
    <w:p w14:paraId="39BB3D8B">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23.监督管理部门</w:t>
      </w:r>
    </w:p>
    <w:p w14:paraId="06E35E8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23.1磋商采购活动的监督管理部门详见</w:t>
      </w:r>
      <w:r>
        <w:rPr>
          <w:rFonts w:hint="eastAsia" w:ascii="仿宋" w:hAnsi="仿宋" w:eastAsia="仿宋" w:cs="仿宋"/>
          <w:kern w:val="0"/>
          <w:sz w:val="24"/>
          <w:highlight w:val="none"/>
          <w:lang w:val="en-US" w:eastAsia="zh-CN"/>
        </w:rPr>
        <w:t>采购人监管部门</w:t>
      </w:r>
      <w:r>
        <w:rPr>
          <w:rFonts w:hint="eastAsia" w:ascii="仿宋" w:hAnsi="仿宋" w:eastAsia="仿宋" w:cs="仿宋"/>
          <w:kern w:val="0"/>
          <w:sz w:val="24"/>
          <w:highlight w:val="none"/>
        </w:rPr>
        <w:t>。</w:t>
      </w:r>
    </w:p>
    <w:p w14:paraId="4E6C38B3">
      <w:pPr>
        <w:pStyle w:val="15"/>
        <w:pageBreakBefore w:val="0"/>
        <w:widowControl w:val="0"/>
        <w:numPr>
          <w:ilvl w:val="0"/>
          <w:numId w:val="0"/>
        </w:numPr>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18" w:name="_Toc1809"/>
      <w:r>
        <w:rPr>
          <w:rFonts w:hint="eastAsia" w:ascii="仿宋" w:hAnsi="仿宋" w:eastAsia="仿宋" w:cs="仿宋"/>
          <w:b/>
          <w:bCs/>
          <w:kern w:val="0"/>
          <w:sz w:val="28"/>
          <w:szCs w:val="32"/>
          <w:highlight w:val="none"/>
          <w:lang w:val="en-US" w:eastAsia="zh-CN" w:bidi="ar-SA"/>
        </w:rPr>
        <w:t>八、</w:t>
      </w:r>
      <w:r>
        <w:rPr>
          <w:rFonts w:hint="eastAsia" w:ascii="仿宋" w:hAnsi="仿宋" w:eastAsia="仿宋" w:cs="仿宋"/>
          <w:b/>
          <w:bCs/>
          <w:sz w:val="28"/>
          <w:szCs w:val="32"/>
          <w:highlight w:val="none"/>
        </w:rPr>
        <w:t>采购政策</w:t>
      </w:r>
      <w:bookmarkEnd w:id="18"/>
    </w:p>
    <w:p w14:paraId="31E3B0AA">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24、采购政策由财政部根据国家的经济和社会发展政策并会同国家有关部委制定，包括但不限于下列管理办法或措施：</w:t>
      </w:r>
    </w:p>
    <w:p w14:paraId="6D7E6EFD">
      <w:pPr>
        <w:pStyle w:val="3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24.1本国产品与非本国产品相关约定</w:t>
      </w:r>
    </w:p>
    <w:p w14:paraId="1E583671">
      <w:pPr>
        <w:pStyle w:val="3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24.1.1本国产品</w:t>
      </w:r>
    </w:p>
    <w:p w14:paraId="53EB697F">
      <w:pPr>
        <w:pStyle w:val="3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本国产品标准本国产品应当符合以下条件：①在中国境内生产。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a.为确保产品在运输或者储存期间保持某种状态而进行的操作；b.为产品运输或者销售进行的包装或者展示；c.在产品或者其包装上粘贴或者印刷品牌、标志、标识以及其他用于区别的标记；d.简单的上漆、磨光和分装；e.其他不属于属性改变的情形。②在中国境内生产的组件成本占比达到规定比例。具体判定标准以《国务院办公厅关于在政府采购中实施本国产品标准及相关政策的通知》以及财政部相关文件为准。 ③特定产品的关键组件、关键工序符合相关要求。具体判定标准以《国务院办公厅关于在政府采购中实施本国产品标准及相关政策的通知》以及财政部相关文件为准。</w:t>
      </w:r>
    </w:p>
    <w:p w14:paraId="435A3E8B">
      <w:pPr>
        <w:pStyle w:val="3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（2）本国产品标准的适用范围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8C6C199">
      <w:pPr>
        <w:pStyle w:val="3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（3）对本国产品的支持政策 政府采购活动中既有本国产品又有非本国产品参与竞争的，依法对本国产品给予价格评审优惠，对本国产品的报价给予20%的价格扣除，用扣除后的价格参与评审。</w:t>
      </w:r>
    </w:p>
    <w:p w14:paraId="2780FAD9">
      <w:pPr>
        <w:pStyle w:val="3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F7E3690">
      <w:pPr>
        <w:pStyle w:val="3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24.1.2 非本国产品</w:t>
      </w:r>
    </w:p>
    <w:p w14:paraId="4505964F">
      <w:pPr>
        <w:pStyle w:val="3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24.1.2.1 进口产品：指通过中国海关报关验放进入中国境内且产自关境外的产品，其中：</w:t>
      </w:r>
    </w:p>
    <w:p w14:paraId="7696C1F2">
      <w:pPr>
        <w:pStyle w:val="3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12666C92">
      <w:pPr>
        <w:pStyle w:val="3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（2）凡在海关特殊监管区域内企业生产或加工（包括从境外进口料件）销往境内其他地区的产品，不作为政府采购项下进口产品。</w:t>
      </w:r>
    </w:p>
    <w:p w14:paraId="0B05134E">
      <w:pPr>
        <w:pStyle w:val="3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（3）对从境外进入海关特殊监管区域，再经办理报关手续后从海关特殊监管区进入境内其他地区的产品，认定为进口产品。</w:t>
      </w:r>
    </w:p>
    <w:p w14:paraId="16382F5B">
      <w:pPr>
        <w:pStyle w:val="3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（4）磋商文件列明不允许或未列明允许进口产品参加报价的，均视为拒绝进口产品参加报价。</w:t>
      </w:r>
    </w:p>
    <w:p w14:paraId="27D3C8F7">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24.1.2.2 其它非本国产品：指非进口产品且不符合本国产品标准的产品。</w:t>
      </w:r>
    </w:p>
    <w:p w14:paraId="55DCD69C">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24.2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C8872EA">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24.3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0033FF71">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（1）中小企业指符合下列条件的中型、小型、微型企业：</w:t>
      </w:r>
    </w:p>
    <w:p w14:paraId="41B866CD">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615B1479">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②符合中小企业划分标准的个体工商户，在采购活动中视同中小企业。</w:t>
      </w:r>
    </w:p>
    <w:p w14:paraId="7A33F876">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（2）在采购活动中，供应商提供的货物、工程或者服务符合下列情形的，享受本办法规定的中小企业扶持政策：</w:t>
      </w:r>
    </w:p>
    <w:p w14:paraId="0EE88C3B">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①在货物采购项目中，货物由中小企业制造，即货物由中小企业生产且使用该中小企业商号或者注册商标；</w:t>
      </w:r>
    </w:p>
    <w:p w14:paraId="68FA6B56">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②在工程采购项目中，工程由中小企业承建，即工程施工单位为中小企业；</w:t>
      </w:r>
    </w:p>
    <w:p w14:paraId="2F0407D9">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③在服务采购项目中，服务由中小企业承接，即提供服务的人员为中小企业依照《中华人民共和国劳动合同法》 订立劳动合同的从业人员。</w:t>
      </w:r>
    </w:p>
    <w:p w14:paraId="241EFA88">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在货物采购项目中，供应商提供的货物既有中小企业制造货物，也有大型企业制造货物的，不享受本办法规定的中小企业扶持政策。</w:t>
      </w:r>
    </w:p>
    <w:p w14:paraId="120CF94D">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以联合体形式参加采购活动，联合体各方均为中小企业的，联合体视同中小企业。其中，联合体各方均为小微企业的，联合体视同小微企业。</w:t>
      </w:r>
    </w:p>
    <w:p w14:paraId="4738EE92">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（3）供应商应当按照磋商文件明确的采购标的对应行业的划分标准出具中小企业声明函。</w:t>
      </w:r>
    </w:p>
    <w:p w14:paraId="4EC01821">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73123557">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146C42ED">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①监狱企业参加采购活动时，应提供由省级以上监狱管理局、戒毒管理局（含新疆生产建设兵团）出具的属于监狱企业的证明文件。</w:t>
      </w:r>
    </w:p>
    <w:p w14:paraId="01836490">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②监狱企业视同小型、微型企业。</w:t>
      </w:r>
    </w:p>
    <w:p w14:paraId="6C2036B7">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（5）残疾人福利性单位指同时符合下列条件的单位：</w:t>
      </w:r>
    </w:p>
    <w:p w14:paraId="785B09F3">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①安置的残疾人占本单位在职职工人数的比例不低于25%（含25%），并且安置的残疾人人数不少于10人（含10人）；</w:t>
      </w:r>
    </w:p>
    <w:p w14:paraId="101EF5CA">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②依法与安置的每位残疾人签订了一年以上（含一年）的劳动合同或服务协议；</w:t>
      </w:r>
    </w:p>
    <w:p w14:paraId="5155FB10">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③为安置的每位残疾人按月足额缴纳了基本养老保险、基本医疗保险、失业保险、工伤保险和生育保险等社会保险费；</w:t>
      </w:r>
    </w:p>
    <w:p w14:paraId="2339A312">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④通过银行等金融机构向安置的每位残疾人，按月支付了不低于单位所在区县适用的经省级人民政府批准的月最低工资标准的工资；</w:t>
      </w:r>
    </w:p>
    <w:p w14:paraId="357E6B28">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⑤提供本单位制造的货物、承担的工程或服务，或提供其他残疾人福利性单位制造的货物（不包括使用非残疾人福利性单位注册商标的货物）。</w:t>
      </w:r>
    </w:p>
    <w:p w14:paraId="1A6137D6">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045AEE74">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69338B94">
      <w:pPr>
        <w:pStyle w:val="1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480" w:firstLineChars="200"/>
        <w:jc w:val="both"/>
        <w:textAlignment w:val="auto"/>
        <w:outlineLvl w:val="9"/>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24.4供应商按采购文件约定进行工程设计、施工，并采购或使用符合《绿色建筑和绿色建材政府采购需求标准》要求的绿色建材（工程类项目适用）。</w:t>
      </w:r>
    </w:p>
    <w:p w14:paraId="798E757E">
      <w:pPr>
        <w:pStyle w:val="1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480" w:firstLineChars="200"/>
        <w:jc w:val="both"/>
        <w:textAlignment w:val="auto"/>
        <w:outlineLvl w:val="9"/>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24.5信用记录指由财政部确定的有关网站提供的相关主体信用信息。信用记录的查询及使用应符合财政部文件（财库〔2016〕125号）规定。</w:t>
      </w:r>
    </w:p>
    <w:p w14:paraId="5DA346FC">
      <w:pPr>
        <w:pStyle w:val="15"/>
        <w:pageBreakBefore w:val="0"/>
        <w:widowControl w:val="0"/>
        <w:numPr>
          <w:ilvl w:val="0"/>
          <w:numId w:val="0"/>
        </w:numPr>
        <w:kinsoku/>
        <w:wordWrap/>
        <w:overflowPunct/>
        <w:topLinePunct w:val="0"/>
        <w:autoSpaceDE/>
        <w:autoSpaceDN/>
        <w:bidi w:val="0"/>
        <w:adjustRightInd/>
        <w:snapToGrid/>
        <w:spacing w:before="75" w:beforeAutospacing="0" w:after="75" w:afterAutospacing="0" w:line="360" w:lineRule="auto"/>
        <w:jc w:val="center"/>
        <w:textAlignment w:val="auto"/>
        <w:outlineLvl w:val="1"/>
        <w:rPr>
          <w:rFonts w:hint="eastAsia" w:ascii="仿宋" w:hAnsi="仿宋" w:eastAsia="仿宋" w:cs="仿宋"/>
          <w:b/>
          <w:bCs/>
          <w:sz w:val="28"/>
          <w:szCs w:val="32"/>
          <w:highlight w:val="none"/>
        </w:rPr>
      </w:pPr>
      <w:bookmarkStart w:id="19" w:name="_Toc3846"/>
      <w:r>
        <w:rPr>
          <w:rFonts w:hint="eastAsia" w:ascii="仿宋" w:hAnsi="仿宋" w:eastAsia="仿宋" w:cs="仿宋"/>
          <w:b/>
          <w:bCs/>
          <w:kern w:val="0"/>
          <w:sz w:val="28"/>
          <w:szCs w:val="32"/>
          <w:highlight w:val="none"/>
          <w:lang w:val="en-US" w:eastAsia="zh-CN" w:bidi="ar-SA"/>
        </w:rPr>
        <w:t>九、</w:t>
      </w:r>
      <w:r>
        <w:rPr>
          <w:rFonts w:hint="eastAsia" w:ascii="仿宋" w:hAnsi="仿宋" w:eastAsia="仿宋" w:cs="仿宋"/>
          <w:b/>
          <w:bCs/>
          <w:sz w:val="28"/>
          <w:szCs w:val="32"/>
          <w:highlight w:val="none"/>
        </w:rPr>
        <w:t>根据采购项目特点或政策需要补充的其他内容</w:t>
      </w:r>
      <w:bookmarkEnd w:id="19"/>
    </w:p>
    <w:p w14:paraId="0F3930B7">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2</w:t>
      </w:r>
      <w:r>
        <w:rPr>
          <w:rFonts w:hint="eastAsia" w:ascii="仿宋" w:hAnsi="仿宋" w:eastAsia="仿宋" w:cs="仿宋"/>
          <w:b/>
          <w:bCs/>
          <w:kern w:val="0"/>
          <w:sz w:val="24"/>
          <w:highlight w:val="none"/>
          <w:lang w:val="en-US" w:eastAsia="zh-CN"/>
        </w:rPr>
        <w:t>5</w:t>
      </w:r>
      <w:r>
        <w:rPr>
          <w:rFonts w:hint="eastAsia" w:ascii="仿宋" w:hAnsi="仿宋" w:eastAsia="仿宋" w:cs="仿宋"/>
          <w:b/>
          <w:bCs/>
          <w:kern w:val="0"/>
          <w:sz w:val="24"/>
          <w:highlight w:val="none"/>
        </w:rPr>
        <w:t>.履约保证金</w:t>
      </w:r>
    </w:p>
    <w:p w14:paraId="22AF9B0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.1采购人可以根据项目特点和需要，确定是否要求</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在合同签订前，按照磋商文件规定的时间、形式、金额提交履约保证金，履约保证金的数额不超过</w:t>
      </w:r>
      <w:r>
        <w:rPr>
          <w:rFonts w:hint="eastAsia" w:ascii="仿宋" w:hAnsi="仿宋" w:eastAsia="仿宋" w:cs="仿宋"/>
          <w:kern w:val="0"/>
          <w:sz w:val="24"/>
          <w:highlight w:val="none"/>
          <w:lang w:eastAsia="zh-CN"/>
        </w:rPr>
        <w:t>成交</w:t>
      </w:r>
      <w:r>
        <w:rPr>
          <w:rFonts w:hint="eastAsia" w:ascii="仿宋" w:hAnsi="仿宋" w:eastAsia="仿宋" w:cs="仿宋"/>
          <w:kern w:val="0"/>
          <w:sz w:val="24"/>
          <w:highlight w:val="none"/>
        </w:rPr>
        <w:t>合同金额的10%，具体详见磋商须知前附表第</w:t>
      </w:r>
      <w:r>
        <w:rPr>
          <w:rFonts w:hint="eastAsia" w:ascii="仿宋" w:hAnsi="仿宋" w:eastAsia="仿宋" w:cs="仿宋"/>
          <w:kern w:val="0"/>
          <w:sz w:val="24"/>
          <w:highlight w:val="none"/>
          <w:u w:val="single"/>
          <w:lang w:val="en-US" w:eastAsia="zh-CN"/>
        </w:rPr>
        <w:t>12</w:t>
      </w:r>
      <w:r>
        <w:rPr>
          <w:rFonts w:hint="eastAsia" w:ascii="仿宋" w:hAnsi="仿宋" w:eastAsia="仿宋" w:cs="仿宋"/>
          <w:kern w:val="0"/>
          <w:sz w:val="24"/>
          <w:highlight w:val="none"/>
        </w:rPr>
        <w:t>项规定。</w:t>
      </w:r>
    </w:p>
    <w:p w14:paraId="73041B1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.2磋商文件要求在合同签订前提交履约保证金，如果</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无故拖延或者拒不提交履约保证金的，则视为</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拒绝与采购人签订合同，该</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将承担违法行为的法律责任。</w:t>
      </w:r>
    </w:p>
    <w:p w14:paraId="5A071AC2">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2</w:t>
      </w:r>
      <w:r>
        <w:rPr>
          <w:rFonts w:hint="eastAsia" w:ascii="仿宋" w:hAnsi="仿宋" w:eastAsia="仿宋" w:cs="仿宋"/>
          <w:b/>
          <w:bCs/>
          <w:kern w:val="0"/>
          <w:sz w:val="24"/>
          <w:highlight w:val="none"/>
          <w:lang w:val="en-US" w:eastAsia="zh-CN"/>
        </w:rPr>
        <w:t>6</w:t>
      </w:r>
      <w:r>
        <w:rPr>
          <w:rFonts w:hint="eastAsia" w:ascii="仿宋" w:hAnsi="仿宋" w:eastAsia="仿宋" w:cs="仿宋"/>
          <w:b/>
          <w:bCs/>
          <w:kern w:val="0"/>
          <w:sz w:val="24"/>
          <w:highlight w:val="none"/>
        </w:rPr>
        <w:t>.其他新增内容：</w:t>
      </w:r>
    </w:p>
    <w:p w14:paraId="44A60E7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26.1</w:t>
      </w:r>
      <w:r>
        <w:rPr>
          <w:rFonts w:hint="eastAsia" w:ascii="仿宋" w:hAnsi="仿宋" w:eastAsia="仿宋" w:cs="仿宋"/>
          <w:kern w:val="0"/>
          <w:sz w:val="24"/>
          <w:highlight w:val="none"/>
        </w:rPr>
        <w:t>根据采购项目特点或政策需要补充的其他新增内容详见竞争性磋商须知前附表第</w:t>
      </w:r>
      <w:r>
        <w:rPr>
          <w:rFonts w:hint="eastAsia" w:ascii="仿宋" w:hAnsi="仿宋" w:eastAsia="仿宋" w:cs="仿宋"/>
          <w:kern w:val="0"/>
          <w:sz w:val="24"/>
          <w:highlight w:val="none"/>
          <w:u w:val="single"/>
          <w:lang w:val="en-US" w:eastAsia="zh-CN"/>
        </w:rPr>
        <w:t>13</w:t>
      </w:r>
      <w:r>
        <w:rPr>
          <w:rFonts w:hint="eastAsia" w:ascii="仿宋" w:hAnsi="仿宋" w:eastAsia="仿宋" w:cs="仿宋"/>
          <w:kern w:val="0"/>
          <w:sz w:val="24"/>
          <w:highlight w:val="none"/>
        </w:rPr>
        <w:t>项。</w:t>
      </w:r>
    </w:p>
    <w:p w14:paraId="0D4E05E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26.2本项目中如涉及商品包装和快递包装的，其包装需求标准应不低于《关于印发〈商品包装政府采购需求标准</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试行</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〉、〈快递包装政府采购需求标准</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试行</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〉的通知》（财办库〔2020〕 123号）规定的包装要求，其他包装需求详见采购文件具体规定。采购人、</w:t>
      </w:r>
      <w:r>
        <w:rPr>
          <w:rFonts w:hint="eastAsia" w:ascii="仿宋" w:hAnsi="仿宋" w:eastAsia="仿宋" w:cs="仿宋"/>
          <w:kern w:val="0"/>
          <w:sz w:val="24"/>
          <w:highlight w:val="none"/>
          <w:lang w:eastAsia="zh-CN"/>
        </w:rPr>
        <w:t>成交供应商</w:t>
      </w:r>
      <w:r>
        <w:rPr>
          <w:rFonts w:hint="eastAsia" w:ascii="仿宋" w:hAnsi="仿宋" w:eastAsia="仿宋" w:cs="仿宋"/>
          <w:kern w:val="0"/>
          <w:sz w:val="24"/>
          <w:highlight w:val="none"/>
        </w:rPr>
        <w:t>双方签订合同及验收环节，应包含上述包装要求的条款。</w:t>
      </w:r>
    </w:p>
    <w:p w14:paraId="017963F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p>
    <w:p w14:paraId="34E218DC">
      <w:pPr>
        <w:pStyle w:val="4"/>
        <w:pageBreakBefore w:val="0"/>
        <w:widowControl w:val="0"/>
        <w:kinsoku/>
        <w:wordWrap/>
        <w:overflowPunct/>
        <w:topLinePunct w:val="0"/>
        <w:autoSpaceDE/>
        <w:autoSpaceDN/>
        <w:bidi w:val="0"/>
        <w:adjustRightInd/>
        <w:snapToGrid/>
        <w:spacing w:before="312" w:after="312" w:line="360" w:lineRule="auto"/>
        <w:textAlignment w:val="auto"/>
        <w:rPr>
          <w:rFonts w:hint="eastAsia" w:ascii="仿宋" w:hAnsi="仿宋" w:eastAsia="仿宋" w:cs="仿宋"/>
          <w:highlight w:val="none"/>
        </w:rPr>
      </w:pPr>
      <w:bookmarkStart w:id="20" w:name="_Toc3774"/>
      <w:r>
        <w:rPr>
          <w:rFonts w:hint="eastAsia" w:ascii="仿宋" w:hAnsi="仿宋" w:eastAsia="仿宋" w:cs="仿宋"/>
          <w:highlight w:val="none"/>
        </w:rPr>
        <w:t>第三章  采购内容及要求</w:t>
      </w:r>
      <w:bookmarkEnd w:id="20"/>
    </w:p>
    <w:p w14:paraId="66BD1405">
      <w:pPr>
        <w:pStyle w:val="15"/>
        <w:pageBreakBefore w:val="0"/>
        <w:widowControl w:val="0"/>
        <w:kinsoku/>
        <w:wordWrap/>
        <w:overflowPunct/>
        <w:topLinePunct w:val="0"/>
        <w:autoSpaceDE/>
        <w:autoSpaceDN/>
        <w:bidi w:val="0"/>
        <w:adjustRightInd/>
        <w:snapToGrid/>
        <w:spacing w:before="75" w:beforeAutospacing="0" w:after="75" w:afterAutospacing="0" w:line="360" w:lineRule="auto"/>
        <w:textAlignment w:val="auto"/>
        <w:outlineLvl w:val="1"/>
        <w:rPr>
          <w:rFonts w:hint="eastAsia" w:ascii="仿宋" w:hAnsi="仿宋" w:eastAsia="仿宋" w:cs="仿宋"/>
          <w:b/>
          <w:bCs/>
          <w:sz w:val="28"/>
          <w:szCs w:val="32"/>
          <w:highlight w:val="none"/>
        </w:rPr>
      </w:pPr>
      <w:bookmarkStart w:id="21" w:name="_Toc19779"/>
      <w:bookmarkStart w:id="22" w:name="_Toc2908"/>
      <w:r>
        <w:rPr>
          <w:rFonts w:hint="eastAsia" w:ascii="仿宋" w:hAnsi="仿宋" w:eastAsia="仿宋" w:cs="仿宋"/>
          <w:b/>
          <w:bCs/>
          <w:sz w:val="28"/>
          <w:szCs w:val="32"/>
          <w:highlight w:val="none"/>
        </w:rPr>
        <w:t>一、项目概况</w:t>
      </w:r>
      <w:bookmarkEnd w:id="21"/>
    </w:p>
    <w:p w14:paraId="1AD2893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1、初中部现有二次供水系统含4个生活水箱（地面1个约5.8×3.5×3m混凝土水箱、屋顶 3个约15m³水池），配套镀锌钢管管网及单台供水水泵，因设施使用年限较长，存在水质安全隐患、供水稳定性不足等问题，需进行系统性改造。</w:t>
      </w:r>
    </w:p>
    <w:p w14:paraId="5493628A">
      <w:pPr>
        <w:pStyle w:val="15"/>
        <w:widowControl w:val="0"/>
        <w:spacing w:before="75" w:after="75"/>
        <w:outlineLvl w:val="1"/>
        <w:rPr>
          <w:rFonts w:hint="eastAsia" w:ascii="仿宋" w:hAnsi="仿宋" w:eastAsia="仿宋" w:cs="仿宋"/>
          <w:b/>
          <w:bCs/>
          <w:kern w:val="0"/>
          <w:sz w:val="28"/>
          <w:szCs w:val="32"/>
          <w:highlight w:val="none"/>
        </w:rPr>
      </w:pPr>
      <w:r>
        <w:rPr>
          <w:rFonts w:hint="eastAsia" w:ascii="仿宋" w:hAnsi="仿宋" w:eastAsia="仿宋" w:cs="仿宋"/>
          <w:b/>
          <w:bCs/>
          <w:kern w:val="0"/>
          <w:sz w:val="28"/>
          <w:szCs w:val="32"/>
          <w:highlight w:val="none"/>
        </w:rPr>
        <w:t>二、技术要求</w:t>
      </w:r>
      <w:bookmarkEnd w:id="22"/>
    </w:p>
    <w:p w14:paraId="746CD47B">
      <w:pPr>
        <w:pageBreakBefore w:val="0"/>
        <w:widowControl w:val="0"/>
        <w:kinsoku/>
        <w:wordWrap/>
        <w:overflowPunct/>
        <w:topLinePunct w:val="0"/>
        <w:autoSpaceDE w:val="0"/>
        <w:autoSpaceDN w:val="0"/>
        <w:bidi w:val="0"/>
        <w:adjustRightInd w:val="0"/>
        <w:spacing w:line="360" w:lineRule="auto"/>
        <w:ind w:firstLine="0" w:firstLineChars="0"/>
        <w:jc w:val="left"/>
        <w:rPr>
          <w:rFonts w:hint="default" w:ascii="仿宋" w:hAnsi="仿宋" w:eastAsia="仿宋" w:cs="仿宋"/>
          <w:b/>
          <w:sz w:val="28"/>
          <w:szCs w:val="28"/>
          <w:highlight w:val="none"/>
          <w:lang w:val="en-US" w:eastAsia="zh-CN"/>
        </w:rPr>
      </w:pPr>
      <w:bookmarkStart w:id="23" w:name="_Toc3078"/>
      <w:r>
        <w:rPr>
          <w:rFonts w:hint="eastAsia" w:ascii="仿宋" w:hAnsi="仿宋" w:eastAsia="仿宋" w:cs="仿宋"/>
          <w:b/>
          <w:sz w:val="28"/>
          <w:szCs w:val="28"/>
          <w:highlight w:val="none"/>
          <w:lang w:val="en-US" w:eastAsia="zh-CN"/>
        </w:rPr>
        <w:t>1、施工主要要求</w:t>
      </w:r>
    </w:p>
    <w:p w14:paraId="78518380">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1.1施工内容：</w:t>
      </w:r>
    </w:p>
    <w:p w14:paraId="3F681E39">
      <w:pPr>
        <w:spacing w:line="360" w:lineRule="auto"/>
        <w:ind w:firstLine="480" w:firstLineChars="200"/>
        <w:rPr>
          <w:rFonts w:hint="eastAsia" w:eastAsiaTheme="minorEastAsia"/>
          <w:highlight w:val="none"/>
          <w:lang w:eastAsia="zh-CN"/>
        </w:rPr>
      </w:pPr>
      <w:r>
        <w:rPr>
          <w:rFonts w:hint="eastAsia" w:ascii="仿宋" w:hAnsi="仿宋" w:eastAsia="仿宋" w:cs="仿宋"/>
          <w:sz w:val="24"/>
          <w:highlight w:val="none"/>
          <w:lang w:val="en-US" w:eastAsia="zh-CN"/>
        </w:rPr>
        <w:t>1.1.1水箱改造：具体涉及对现存的地面混凝土结构水箱进行内部衬贴防渗处理。选用符合国家食品级标准的304不锈钢作为内衬材料，以从物理隔绝上确保储水容器内壁不渗漏、不析出有害物质，从而长期稳定地保障水质满足《生活饮用水卫生标准》（GB 5749-2022）的严格要求。与此同时，本次改造还将系统性地完善水箱的各项配套设施，包括通气管、检修人孔、溢流管、排污管以及必要的消毒装置等，确保水箱在储存、维护及安全防护方面功能完备。</w:t>
      </w:r>
    </w:p>
    <w:p w14:paraId="2A54338B">
      <w:pPr>
        <w:spacing w:line="360" w:lineRule="auto"/>
        <w:ind w:firstLine="480" w:firstLineChars="200"/>
        <w:rPr>
          <w:rFonts w:hint="eastAsia" w:eastAsiaTheme="minorEastAsia"/>
          <w:highlight w:val="none"/>
          <w:lang w:eastAsia="zh-CN"/>
        </w:rPr>
      </w:pPr>
      <w:r>
        <w:rPr>
          <w:rFonts w:hint="eastAsia" w:ascii="仿宋" w:hAnsi="仿宋" w:eastAsia="仿宋" w:cs="仿宋"/>
          <w:sz w:val="24"/>
          <w:highlight w:val="none"/>
          <w:lang w:val="en-US" w:eastAsia="zh-CN"/>
        </w:rPr>
        <w:t>1.1.2管网更换：全面拆除现有已出现锈蚀的老旧镀锌钢管。更换为符合饮用水卫生标准的PVC-U给水管及其全套配套管件，例如不锈钢法兰、蝶阀、球阀等各类阀门。改造需结合现场实际情况对部分管网的走向与布局进行合理优化，以提升供水系统的整体效率与可靠性。</w:t>
      </w:r>
    </w:p>
    <w:p w14:paraId="315A3121">
      <w:pPr>
        <w:spacing w:line="360" w:lineRule="auto"/>
        <w:ind w:firstLine="480" w:firstLineChars="200"/>
        <w:rPr>
          <w:rFonts w:hint="eastAsia" w:eastAsiaTheme="minorEastAsia"/>
          <w:highlight w:val="none"/>
          <w:lang w:eastAsia="zh-CN"/>
        </w:rPr>
      </w:pPr>
      <w:r>
        <w:rPr>
          <w:rFonts w:hint="eastAsia" w:ascii="仿宋" w:hAnsi="仿宋" w:eastAsia="仿宋" w:cs="仿宋"/>
          <w:sz w:val="24"/>
          <w:highlight w:val="none"/>
          <w:lang w:val="en-US" w:eastAsia="zh-CN"/>
        </w:rPr>
        <w:t>1.1.3供水设备更新：原有的单台水泵将被拆除，更换为一套采用一用一备配置的立式多级离心泵组。配套新增完整的恒压变频供水设备（含成套机组）、专用的变频控制柜，以及与之配套的阀门、连接管路、压力传感器等相关附件，连接阀门及管路采用304不锈钢材质。实现供水压力的恒定与稳定，保证供水安全可靠，并能实现不间断的持续供水，显著提升供水品质。</w:t>
      </w:r>
    </w:p>
    <w:p w14:paraId="59274CB3">
      <w:pPr>
        <w:spacing w:line="360" w:lineRule="auto"/>
        <w:ind w:firstLine="480" w:firstLineChars="200"/>
        <w:rPr>
          <w:rFonts w:hint="eastAsia" w:eastAsiaTheme="minorEastAsia"/>
          <w:highlight w:val="none"/>
          <w:lang w:eastAsia="zh-CN"/>
        </w:rPr>
      </w:pPr>
      <w:r>
        <w:rPr>
          <w:rFonts w:hint="eastAsia" w:ascii="仿宋" w:hAnsi="仿宋" w:eastAsia="仿宋" w:cs="仿宋"/>
          <w:sz w:val="24"/>
          <w:highlight w:val="none"/>
          <w:lang w:val="en-US" w:eastAsia="zh-CN"/>
        </w:rPr>
        <w:t>1.1.4其它：工程还包含一系列必要的辅助工程，例如旧设备与旧管路的拆除与清运、新管道的支架安装与固定、墙体穿墙孔洞的密封防水处理，以及整个系统完成后的水压试验、管路冲洗和最终消毒等工作。</w:t>
      </w:r>
    </w:p>
    <w:p w14:paraId="480BD51E">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1.1.5特别说明：以上施工内容描述是基于常规方案，具体的施工范围与细节将以现场实际勘测的尺寸、条件和现有设施状况为准。供应商须在施工前完成现场勘查，并与我方共同确认最终的实施方案。</w:t>
      </w:r>
    </w:p>
    <w:p w14:paraId="522F9436">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1.2承包方式：包工包料、包安全、包验收、包质保；质保范围涵盖材料质量、施工质量、设计缺陷、分包质量缺陷等全部与项目相关的质量问题，质保责任最终由供应商全额承担。</w:t>
      </w:r>
    </w:p>
    <w:p w14:paraId="1DB06720">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1.3施工依据：需严格遵循国家现行相关规范、标准及采购人要求，包括但不限于：​</w:t>
      </w:r>
    </w:p>
    <w:p w14:paraId="0DBA791E">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《给水用硬聚氯乙烯（PVC-U）管材》（GB/T 10002.1）​</w:t>
      </w:r>
    </w:p>
    <w:p w14:paraId="176EF69E">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《二次供水设施卫生规范》（GB 17051）​</w:t>
      </w:r>
    </w:p>
    <w:p w14:paraId="69A11562">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《建筑给水排水及采暖工程施工质量验收规范》（GB 50242）</w:t>
      </w:r>
    </w:p>
    <w:p w14:paraId="6E7DFCE1">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《生活饮用水卫生标准》（GB 5749）​</w:t>
      </w:r>
    </w:p>
    <w:p w14:paraId="6BA5094C">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《城镇供水水质标准》（CJ/T 206）</w:t>
      </w:r>
    </w:p>
    <w:p w14:paraId="44D3609F">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《生活饮用水输配水设备及防护材料的安全性评价标准》（GB/T 17219）</w:t>
      </w:r>
    </w:p>
    <w:p w14:paraId="6E9711BF">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采购人确认的设计图纸及技术要求及其他行业现行有效规范、标准</w:t>
      </w:r>
    </w:p>
    <w:p w14:paraId="04ADACE7">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1.4施工管理：进场施工前，施工单位必须提交详细的施工组织设计方案，该方案需全面涵盖施工进度计划、现场人员具体配置、分阶段的安全保障措施、专门的二次供水水质保护方案以及完整的临时供水保障预案等内容。所有材料需提交给采购人进行最终审阅与确认，只有获得明确许可后方可正式进场施工。</w:t>
      </w:r>
    </w:p>
    <w:p w14:paraId="57C53942">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1.5在整个施工过程中，施工单位必须严格按照采购人最终确认的设计图纸及已获批的施工组织设计方案执行各项作业，严禁任何形式的擅自变更。若在实际施工中遇到特殊情况，确有必要对原计划进行调整或变更时，施工单位须提前向采购人提交正式的书面变更申请，详细说明变更原因、具体内容及可能产生的影响。该申请必须获得采购人的书面批准后，方可依照新的方案组织实施变更内容。</w:t>
      </w:r>
    </w:p>
    <w:p w14:paraId="4D856822">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1.6隐蔽工程施工要求：在施工过程中，对于所有隐蔽工程的施工环节，供应商均须在执行前至少提前48小时，通过正式的书面通知形式告知采购人，并在通知中明确约定具体的验收时间、地点以及详细的隐蔽工程内容；若未按要求通知采购人到场进行检查，则严格禁止任何人员私自对隐蔽部位实施施工覆盖或进行后续作业，否则，采购人保留要求返工并追究责任的权利，由此所产生的返工费用及其他相关损失，须由供应商全部承担。</w:t>
      </w:r>
    </w:p>
    <w:p w14:paraId="4F651E64">
      <w:pPr>
        <w:pStyle w:val="30"/>
        <w:keepNext w:val="0"/>
        <w:keepLines w:val="0"/>
        <w:pageBreakBefore w:val="0"/>
        <w:widowControl w:val="0"/>
        <w:kinsoku/>
        <w:wordWrap/>
        <w:overflowPunct/>
        <w:topLinePunct w:val="0"/>
        <w:autoSpaceDE/>
        <w:autoSpaceDN/>
        <w:bidi w:val="0"/>
        <w:adjustRightInd/>
        <w:snapToGrid/>
        <w:spacing w:before="240" w:after="240" w:line="360" w:lineRule="auto"/>
        <w:jc w:val="left"/>
        <w:textAlignment w:val="auto"/>
        <w:rPr>
          <w:rFonts w:hint="default" w:ascii="仿宋" w:hAnsi="仿宋" w:eastAsia="仿宋" w:cs="仿宋"/>
          <w:b/>
          <w:sz w:val="28"/>
          <w:highlight w:val="none"/>
          <w:lang w:val="en-US" w:eastAsia="zh-CN"/>
        </w:rPr>
      </w:pPr>
      <w:r>
        <w:rPr>
          <w:rFonts w:hint="eastAsia" w:ascii="仿宋" w:hAnsi="仿宋" w:eastAsia="仿宋" w:cs="仿宋"/>
          <w:b/>
          <w:sz w:val="28"/>
          <w:highlight w:val="none"/>
          <w:lang w:val="en-US" w:eastAsia="zh-CN"/>
        </w:rPr>
        <w:t>2、磋商文件附件</w:t>
      </w:r>
    </w:p>
    <w:p w14:paraId="276422B0">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2.1</w:t>
      </w:r>
      <w:r>
        <w:rPr>
          <w:rFonts w:hint="eastAsia" w:ascii="仿宋" w:hAnsi="仿宋" w:eastAsia="仿宋" w:cs="仿宋"/>
          <w:sz w:val="24"/>
          <w:highlight w:val="none"/>
        </w:rPr>
        <w:t>本项目提供以下附件，作为磋商文件的组成部分：</w:t>
      </w:r>
    </w:p>
    <w:p w14:paraId="29B2A13E">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附件</w:t>
      </w:r>
      <w:r>
        <w:rPr>
          <w:rFonts w:hint="eastAsia" w:ascii="仿宋" w:hAnsi="仿宋" w:eastAsia="仿宋" w:cs="仿宋"/>
          <w:sz w:val="24"/>
          <w:highlight w:val="none"/>
          <w:lang w:val="en-US" w:eastAsia="zh-CN"/>
        </w:rPr>
        <w:t>一</w:t>
      </w:r>
      <w:r>
        <w:rPr>
          <w:rFonts w:hint="eastAsia" w:ascii="仿宋" w:hAnsi="仿宋" w:eastAsia="仿宋" w:cs="仿宋"/>
          <w:sz w:val="24"/>
          <w:highlight w:val="none"/>
        </w:rPr>
        <w:t>：施工图纸；</w:t>
      </w:r>
    </w:p>
    <w:p w14:paraId="5AB48686">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附件</w:t>
      </w:r>
      <w:r>
        <w:rPr>
          <w:rFonts w:hint="eastAsia" w:ascii="仿宋" w:hAnsi="仿宋" w:eastAsia="仿宋" w:cs="仿宋"/>
          <w:sz w:val="24"/>
          <w:highlight w:val="none"/>
          <w:lang w:val="en-US" w:eastAsia="zh-CN"/>
        </w:rPr>
        <w:t>二</w:t>
      </w:r>
      <w:r>
        <w:rPr>
          <w:rFonts w:hint="eastAsia" w:ascii="仿宋" w:hAnsi="仿宋" w:eastAsia="仿宋" w:cs="仿宋"/>
          <w:sz w:val="24"/>
          <w:highlight w:val="none"/>
        </w:rPr>
        <w:t>：</w:t>
      </w:r>
      <w:r>
        <w:rPr>
          <w:rFonts w:hint="eastAsia" w:ascii="仿宋" w:hAnsi="仿宋" w:eastAsia="仿宋" w:cs="仿宋"/>
          <w:sz w:val="24"/>
          <w:highlight w:val="none"/>
          <w:lang w:eastAsia="zh-CN"/>
        </w:rPr>
        <w:t>工程量</w:t>
      </w:r>
      <w:r>
        <w:rPr>
          <w:rFonts w:hint="eastAsia" w:ascii="仿宋" w:hAnsi="仿宋" w:eastAsia="仿宋" w:cs="仿宋"/>
          <w:sz w:val="24"/>
          <w:highlight w:val="none"/>
        </w:rPr>
        <w:t>清单。</w:t>
      </w:r>
    </w:p>
    <w:p w14:paraId="0673D8B0">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2.2</w:t>
      </w:r>
      <w:r>
        <w:rPr>
          <w:rFonts w:hint="eastAsia" w:ascii="仿宋" w:hAnsi="仿宋" w:eastAsia="仿宋" w:cs="仿宋"/>
          <w:sz w:val="24"/>
          <w:highlight w:val="none"/>
        </w:rPr>
        <w:t>清单内容与图纸内容不一致时，以图纸内容为准。因施工图纸未完全反应施工量，供应商应根据采购人的实际要求及现场踏勘结果进行报价，供应商应充分考虑磋商文件及工程量清单中的遗漏项目，并在响应文件中提出，磋商报价应包含所有遗漏项目的一切费用。成交后除采购人提出变更外，不再调整合同金额，供应商须充分考虑该因素，总价风险包干。</w:t>
      </w:r>
    </w:p>
    <w:p w14:paraId="3CC26EC5">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2.3</w:t>
      </w:r>
      <w:r>
        <w:rPr>
          <w:rFonts w:hint="eastAsia" w:ascii="仿宋" w:hAnsi="仿宋" w:eastAsia="仿宋" w:cs="仿宋"/>
          <w:sz w:val="24"/>
          <w:highlight w:val="none"/>
        </w:rPr>
        <w:t>若磋商文件的内容与附件的内容发生冲突，则以磋商文件的内容解释为准。磋商文件未体现的内容，若施工图纸有体现，则以施工图纸的内容解释为准。因施工图纸未完全反映施工量，故图纸未体现的内容，工程量清单有体现的，以工程量清单为准进行报价，实际施工中若未发生，则未发生部分不予结算。</w:t>
      </w:r>
    </w:p>
    <w:p w14:paraId="06621FED">
      <w:pPr>
        <w:pStyle w:val="3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2.4</w:t>
      </w:r>
      <w:r>
        <w:rPr>
          <w:rFonts w:hint="eastAsia" w:ascii="仿宋" w:hAnsi="仿宋" w:eastAsia="仿宋" w:cs="仿宋"/>
          <w:b w:val="0"/>
          <w:bCs w:val="0"/>
          <w:sz w:val="24"/>
          <w:szCs w:val="24"/>
          <w:highlight w:val="none"/>
        </w:rPr>
        <w:t>本工程量清单中的工作内容是依照施工设计图纸及本工程磋商文件中规定的承包范围内的全部工作内容。供应商应对磋商文件及设计图纸、工程量清单进行全面校对。如果对磋商文件内容有疑问或发现工程量存在项目划分误差、计量单位误差、数量误差、项目遗漏等，必须在规定的时间前以书面形式，向招标代理机构提出异议或澄清修正要求。</w:t>
      </w:r>
    </w:p>
    <w:p w14:paraId="4AFE7FB1">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2.5</w:t>
      </w:r>
      <w:r>
        <w:rPr>
          <w:rFonts w:hint="eastAsia" w:ascii="仿宋" w:hAnsi="仿宋" w:eastAsia="仿宋" w:cs="仿宋"/>
          <w:sz w:val="24"/>
          <w:highlight w:val="none"/>
        </w:rPr>
        <w:t>本工程所用的主要设备材料推荐的品牌详见下表，供应商应选用品牌范围内产品或同档次及以上品牌范围内的产品，其中提供的产品品牌不在推荐品牌范围内的，则还应提供产品选择说明及产品质量水平比较说明。供应商在响应文件中须明确主要材料品牌，提供主要材料品牌选用表。</w:t>
      </w:r>
    </w:p>
    <w:p w14:paraId="4296B607">
      <w:pPr>
        <w:pageBreakBefore w:val="0"/>
        <w:widowControl w:val="0"/>
        <w:numPr>
          <w:ilvl w:val="255"/>
          <w:numId w:val="0"/>
        </w:numPr>
        <w:kinsoku/>
        <w:wordWrap/>
        <w:overflowPunct/>
        <w:topLinePunct w:val="0"/>
        <w:autoSpaceDE w:val="0"/>
        <w:autoSpaceDN w:val="0"/>
        <w:bidi w:val="0"/>
        <w:adjustRightInd w:val="0"/>
        <w:spacing w:beforeLines="100" w:afterLines="100" w:line="360" w:lineRule="auto"/>
        <w:jc w:val="center"/>
        <w:rPr>
          <w:rFonts w:hint="eastAsia" w:ascii="仿宋" w:hAnsi="仿宋" w:eastAsia="仿宋" w:cs="仿宋"/>
          <w:sz w:val="24"/>
          <w:highlight w:val="none"/>
        </w:rPr>
      </w:pPr>
      <w:r>
        <w:rPr>
          <w:rFonts w:hint="eastAsia" w:ascii="仿宋" w:hAnsi="仿宋" w:eastAsia="仿宋" w:cs="仿宋"/>
          <w:b/>
          <w:sz w:val="24"/>
          <w:highlight w:val="none"/>
        </w:rPr>
        <w:t>主要设备材料品牌推荐表</w:t>
      </w:r>
    </w:p>
    <w:tbl>
      <w:tblPr>
        <w:tblStyle w:val="18"/>
        <w:tblW w:w="97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20"/>
        <w:gridCol w:w="2494"/>
        <w:gridCol w:w="3625"/>
        <w:gridCol w:w="995"/>
        <w:gridCol w:w="995"/>
        <w:gridCol w:w="996"/>
      </w:tblGrid>
      <w:tr w14:paraId="0345B0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85" w:hRule="atLeast"/>
          <w:jc w:val="center"/>
        </w:trPr>
        <w:tc>
          <w:tcPr>
            <w:tcW w:w="620" w:type="dxa"/>
            <w:noWrap/>
            <w:vAlign w:val="center"/>
          </w:tcPr>
          <w:p w14:paraId="5E44DF9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序号</w:t>
            </w:r>
          </w:p>
        </w:tc>
        <w:tc>
          <w:tcPr>
            <w:tcW w:w="2494" w:type="dxa"/>
            <w:noWrap/>
            <w:vAlign w:val="center"/>
          </w:tcPr>
          <w:p w14:paraId="51E2D63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名称</w:t>
            </w:r>
          </w:p>
        </w:tc>
        <w:tc>
          <w:tcPr>
            <w:tcW w:w="3625" w:type="dxa"/>
            <w:noWrap/>
            <w:vAlign w:val="center"/>
          </w:tcPr>
          <w:p w14:paraId="741E977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产品要求</w:t>
            </w:r>
          </w:p>
        </w:tc>
        <w:tc>
          <w:tcPr>
            <w:tcW w:w="2986" w:type="dxa"/>
            <w:gridSpan w:val="3"/>
            <w:noWrap/>
            <w:vAlign w:val="center"/>
          </w:tcPr>
          <w:p w14:paraId="1343A2B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推荐品牌</w:t>
            </w:r>
          </w:p>
        </w:tc>
      </w:tr>
      <w:tr w14:paraId="2B660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20" w:type="dxa"/>
            <w:noWrap/>
            <w:vAlign w:val="center"/>
          </w:tcPr>
          <w:p w14:paraId="1C601B9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1</w:t>
            </w:r>
          </w:p>
        </w:tc>
        <w:tc>
          <w:tcPr>
            <w:tcW w:w="2494" w:type="dxa"/>
            <w:shd w:val="clear" w:color="auto" w:fill="auto"/>
            <w:noWrap/>
            <w:vAlign w:val="center"/>
          </w:tcPr>
          <w:p w14:paraId="1148D74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PVC-U给水管材管件</w:t>
            </w:r>
          </w:p>
        </w:tc>
        <w:tc>
          <w:tcPr>
            <w:tcW w:w="3625" w:type="dxa"/>
            <w:noWrap/>
            <w:vAlign w:val="center"/>
          </w:tcPr>
          <w:p w14:paraId="78E8D56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符合 GB/T 10002.1 及涉水卫生安全要求</w:t>
            </w:r>
          </w:p>
        </w:tc>
        <w:tc>
          <w:tcPr>
            <w:tcW w:w="995" w:type="dxa"/>
            <w:shd w:val="clear" w:color="auto" w:fill="auto"/>
            <w:noWrap/>
            <w:vAlign w:val="center"/>
          </w:tcPr>
          <w:p w14:paraId="6165DC4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中亚</w:t>
            </w:r>
          </w:p>
        </w:tc>
        <w:tc>
          <w:tcPr>
            <w:tcW w:w="995" w:type="dxa"/>
            <w:shd w:val="clear" w:color="auto" w:fill="auto"/>
            <w:noWrap/>
            <w:vAlign w:val="center"/>
          </w:tcPr>
          <w:p w14:paraId="39FFADC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中财</w:t>
            </w:r>
          </w:p>
        </w:tc>
        <w:tc>
          <w:tcPr>
            <w:tcW w:w="996" w:type="dxa"/>
            <w:shd w:val="clear" w:color="auto" w:fill="auto"/>
            <w:noWrap/>
            <w:vAlign w:val="center"/>
          </w:tcPr>
          <w:p w14:paraId="2B24FAC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联塑</w:t>
            </w:r>
          </w:p>
        </w:tc>
      </w:tr>
      <w:tr w14:paraId="283D1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20" w:type="dxa"/>
            <w:noWrap/>
            <w:vAlign w:val="center"/>
          </w:tcPr>
          <w:p w14:paraId="1FEDFA8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2</w:t>
            </w:r>
          </w:p>
        </w:tc>
        <w:tc>
          <w:tcPr>
            <w:tcW w:w="2494" w:type="dxa"/>
            <w:shd w:val="clear" w:color="auto" w:fill="auto"/>
            <w:noWrap/>
            <w:vAlign w:val="center"/>
          </w:tcPr>
          <w:p w14:paraId="0F0271B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立式多级离心泵</w:t>
            </w:r>
          </w:p>
        </w:tc>
        <w:tc>
          <w:tcPr>
            <w:tcW w:w="3625" w:type="dxa"/>
            <w:noWrap/>
            <w:vAlign w:val="center"/>
          </w:tcPr>
          <w:p w14:paraId="2C4CA6A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一用一备，配套变频控制</w:t>
            </w:r>
          </w:p>
        </w:tc>
        <w:tc>
          <w:tcPr>
            <w:tcW w:w="995" w:type="dxa"/>
            <w:shd w:val="clear" w:color="auto" w:fill="auto"/>
            <w:noWrap/>
            <w:vAlign w:val="center"/>
          </w:tcPr>
          <w:p w14:paraId="5B147BC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南方</w:t>
            </w:r>
          </w:p>
        </w:tc>
        <w:tc>
          <w:tcPr>
            <w:tcW w:w="995" w:type="dxa"/>
            <w:shd w:val="clear" w:color="auto" w:fill="auto"/>
            <w:noWrap/>
            <w:vAlign w:val="center"/>
          </w:tcPr>
          <w:p w14:paraId="57174F6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凯泉</w:t>
            </w:r>
          </w:p>
        </w:tc>
        <w:tc>
          <w:tcPr>
            <w:tcW w:w="996" w:type="dxa"/>
            <w:shd w:val="clear" w:color="auto" w:fill="auto"/>
            <w:noWrap/>
            <w:vAlign w:val="center"/>
          </w:tcPr>
          <w:p w14:paraId="357FF9A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熊猫</w:t>
            </w:r>
          </w:p>
        </w:tc>
      </w:tr>
      <w:tr w14:paraId="5AAFD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20" w:type="dxa"/>
            <w:vAlign w:val="center"/>
          </w:tcPr>
          <w:p w14:paraId="7E36967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3</w:t>
            </w:r>
          </w:p>
        </w:tc>
        <w:tc>
          <w:tcPr>
            <w:tcW w:w="2494" w:type="dxa"/>
            <w:shd w:val="clear" w:color="auto" w:fill="auto"/>
            <w:vAlign w:val="center"/>
          </w:tcPr>
          <w:p w14:paraId="511B2B5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b w:val="0"/>
                <w:bCs/>
                <w:kern w:val="2"/>
                <w:sz w:val="24"/>
                <w:szCs w:val="24"/>
                <w:highlight w:val="none"/>
                <w:lang w:val="en-US" w:eastAsia="zh-CN"/>
              </w:rPr>
              <w:t>恒压变频供水设备（成套）</w:t>
            </w:r>
          </w:p>
        </w:tc>
        <w:tc>
          <w:tcPr>
            <w:tcW w:w="3625" w:type="dxa"/>
            <w:vAlign w:val="center"/>
          </w:tcPr>
          <w:p w14:paraId="11DAA18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硬件泵组+控制系统+管路附件；</w:t>
            </w:r>
          </w:p>
          <w:p w14:paraId="23740FB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恒压供水、自动切换、欠压/过载/缺水保护</w:t>
            </w:r>
          </w:p>
        </w:tc>
        <w:tc>
          <w:tcPr>
            <w:tcW w:w="995" w:type="dxa"/>
            <w:vAlign w:val="center"/>
          </w:tcPr>
          <w:p w14:paraId="1AD5738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南方</w:t>
            </w:r>
          </w:p>
        </w:tc>
        <w:tc>
          <w:tcPr>
            <w:tcW w:w="995" w:type="dxa"/>
            <w:vAlign w:val="center"/>
          </w:tcPr>
          <w:p w14:paraId="1D8E550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凯泉</w:t>
            </w:r>
          </w:p>
        </w:tc>
        <w:tc>
          <w:tcPr>
            <w:tcW w:w="996" w:type="dxa"/>
            <w:vAlign w:val="center"/>
          </w:tcPr>
          <w:p w14:paraId="3493CB0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熊猫</w:t>
            </w:r>
          </w:p>
        </w:tc>
      </w:tr>
      <w:tr w14:paraId="4EC21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20" w:type="dxa"/>
            <w:vAlign w:val="center"/>
          </w:tcPr>
          <w:p w14:paraId="611D640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4</w:t>
            </w:r>
          </w:p>
        </w:tc>
        <w:tc>
          <w:tcPr>
            <w:tcW w:w="2494" w:type="dxa"/>
            <w:shd w:val="clear" w:color="auto" w:fill="auto"/>
            <w:vAlign w:val="center"/>
          </w:tcPr>
          <w:p w14:paraId="0EA17A5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二次供水消毒设备</w:t>
            </w:r>
          </w:p>
        </w:tc>
        <w:tc>
          <w:tcPr>
            <w:tcW w:w="3625" w:type="dxa"/>
            <w:vAlign w:val="center"/>
          </w:tcPr>
          <w:p w14:paraId="757EDA0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紫外线/水箱自洁消毒器，具备自动消毒功能，消毒后水质符合 GB 5749 要求，需提供卫生许可批件及卫生安全专项检测报告</w:t>
            </w:r>
          </w:p>
        </w:tc>
        <w:tc>
          <w:tcPr>
            <w:tcW w:w="995" w:type="dxa"/>
            <w:vAlign w:val="center"/>
          </w:tcPr>
          <w:p w14:paraId="4FED050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南方</w:t>
            </w:r>
          </w:p>
        </w:tc>
        <w:tc>
          <w:tcPr>
            <w:tcW w:w="995" w:type="dxa"/>
            <w:vAlign w:val="center"/>
          </w:tcPr>
          <w:p w14:paraId="21E2218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凯泉</w:t>
            </w:r>
          </w:p>
        </w:tc>
        <w:tc>
          <w:tcPr>
            <w:tcW w:w="996" w:type="dxa"/>
            <w:vAlign w:val="center"/>
          </w:tcPr>
          <w:p w14:paraId="1B951D7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熊猫</w:t>
            </w:r>
          </w:p>
        </w:tc>
      </w:tr>
      <w:tr w14:paraId="0AF7D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20" w:type="dxa"/>
            <w:vAlign w:val="center"/>
          </w:tcPr>
          <w:p w14:paraId="24D1000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5</w:t>
            </w:r>
          </w:p>
        </w:tc>
        <w:tc>
          <w:tcPr>
            <w:tcW w:w="2494" w:type="dxa"/>
            <w:shd w:val="clear" w:color="auto" w:fill="auto"/>
            <w:vAlign w:val="center"/>
          </w:tcPr>
          <w:p w14:paraId="63043CA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变频控制柜</w:t>
            </w:r>
          </w:p>
        </w:tc>
        <w:tc>
          <w:tcPr>
            <w:tcW w:w="3625" w:type="dxa"/>
            <w:vAlign w:val="center"/>
          </w:tcPr>
          <w:p w14:paraId="0AF798C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p>
        </w:tc>
        <w:tc>
          <w:tcPr>
            <w:tcW w:w="995" w:type="dxa"/>
            <w:shd w:val="clear" w:color="auto" w:fill="auto"/>
            <w:vAlign w:val="center"/>
          </w:tcPr>
          <w:p w14:paraId="548B5F8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科品</w:t>
            </w:r>
          </w:p>
        </w:tc>
        <w:tc>
          <w:tcPr>
            <w:tcW w:w="995" w:type="dxa"/>
            <w:shd w:val="clear" w:color="auto" w:fill="auto"/>
            <w:vAlign w:val="center"/>
          </w:tcPr>
          <w:p w14:paraId="6883791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众天一</w:t>
            </w:r>
          </w:p>
        </w:tc>
        <w:tc>
          <w:tcPr>
            <w:tcW w:w="996" w:type="dxa"/>
            <w:shd w:val="clear" w:color="auto" w:fill="auto"/>
            <w:vAlign w:val="center"/>
          </w:tcPr>
          <w:p w14:paraId="077BD0B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巨创</w:t>
            </w:r>
          </w:p>
        </w:tc>
      </w:tr>
    </w:tbl>
    <w:p w14:paraId="5623478D">
      <w:pPr>
        <w:pStyle w:val="30"/>
        <w:keepNext w:val="0"/>
        <w:keepLines w:val="0"/>
        <w:pageBreakBefore w:val="0"/>
        <w:widowControl w:val="0"/>
        <w:kinsoku/>
        <w:wordWrap/>
        <w:overflowPunct/>
        <w:topLinePunct w:val="0"/>
        <w:autoSpaceDE/>
        <w:autoSpaceDN/>
        <w:bidi w:val="0"/>
        <w:adjustRightInd/>
        <w:snapToGrid/>
        <w:spacing w:before="0" w:after="0" w:line="360" w:lineRule="auto"/>
        <w:ind w:firstLine="482" w:firstLineChars="200"/>
        <w:jc w:val="left"/>
        <w:textAlignment w:val="auto"/>
        <w:rPr>
          <w:rFonts w:hint="eastAsia" w:ascii="仿宋" w:hAnsi="仿宋" w:eastAsia="仿宋" w:cs="仿宋"/>
          <w:b/>
          <w:bCs/>
          <w:kern w:val="2"/>
          <w:sz w:val="24"/>
          <w:szCs w:val="24"/>
          <w:highlight w:val="none"/>
          <w:lang w:val="en-US" w:eastAsia="zh-CN"/>
        </w:rPr>
      </w:pPr>
      <w:r>
        <w:rPr>
          <w:rFonts w:hint="eastAsia" w:ascii="仿宋" w:hAnsi="仿宋" w:eastAsia="仿宋" w:cs="仿宋"/>
          <w:b/>
          <w:bCs/>
          <w:kern w:val="2"/>
          <w:sz w:val="24"/>
          <w:szCs w:val="24"/>
          <w:highlight w:val="none"/>
          <w:lang w:val="en-US" w:eastAsia="zh-CN" w:bidi="ar-SA"/>
        </w:rPr>
        <w:t>★2.6 所提供的</w:t>
      </w:r>
      <w:r>
        <w:rPr>
          <w:rFonts w:hint="eastAsia" w:ascii="仿宋" w:hAnsi="仿宋" w:eastAsia="仿宋" w:cs="仿宋"/>
          <w:b/>
          <w:bCs/>
          <w:kern w:val="2"/>
          <w:sz w:val="24"/>
          <w:szCs w:val="24"/>
          <w:highlight w:val="none"/>
          <w:lang w:val="en-US" w:eastAsia="zh-CN"/>
        </w:rPr>
        <w:t>PVC</w:t>
      </w:r>
      <w:r>
        <w:rPr>
          <w:rFonts w:hint="eastAsia" w:ascii="仿宋" w:hAnsi="仿宋" w:eastAsia="仿宋" w:cs="仿宋"/>
          <w:b/>
          <w:bCs/>
          <w:kern w:val="2"/>
          <w:sz w:val="24"/>
          <w:szCs w:val="24"/>
          <w:highlight w:val="none"/>
          <w:lang w:val="en-US" w:eastAsia="zh-CN"/>
        </w:rPr>
        <w:noBreakHyphen/>
      </w:r>
      <w:r>
        <w:rPr>
          <w:rFonts w:hint="eastAsia" w:ascii="仿宋" w:hAnsi="仿宋" w:eastAsia="仿宋" w:cs="仿宋"/>
          <w:b/>
          <w:bCs/>
          <w:kern w:val="2"/>
          <w:sz w:val="24"/>
          <w:szCs w:val="24"/>
          <w:highlight w:val="none"/>
          <w:lang w:val="en-US" w:eastAsia="zh-CN"/>
        </w:rPr>
        <w:t>U给水用管材具有政府部门核发、且在有效期内的涉及饮用水卫生安全产品卫生许可批件，提供所提供的PVC</w:t>
      </w:r>
      <w:r>
        <w:rPr>
          <w:rFonts w:hint="eastAsia" w:ascii="仿宋" w:hAnsi="仿宋" w:eastAsia="仿宋" w:cs="仿宋"/>
          <w:b/>
          <w:bCs/>
          <w:kern w:val="2"/>
          <w:sz w:val="24"/>
          <w:szCs w:val="24"/>
          <w:highlight w:val="none"/>
          <w:lang w:val="en-US" w:eastAsia="zh-CN"/>
        </w:rPr>
        <w:noBreakHyphen/>
      </w:r>
      <w:r>
        <w:rPr>
          <w:rFonts w:hint="eastAsia" w:ascii="仿宋" w:hAnsi="仿宋" w:eastAsia="仿宋" w:cs="仿宋"/>
          <w:b/>
          <w:bCs/>
          <w:kern w:val="2"/>
          <w:sz w:val="24"/>
          <w:szCs w:val="24"/>
          <w:highlight w:val="none"/>
          <w:lang w:val="en-US" w:eastAsia="zh-CN"/>
        </w:rPr>
        <w:t>U给水用管材的涉及饮用水卫生安全产品卫生许可批件扫描件，否则投标无效。</w:t>
      </w:r>
    </w:p>
    <w:p w14:paraId="35C8214B">
      <w:pPr>
        <w:pStyle w:val="30"/>
        <w:keepNext w:val="0"/>
        <w:keepLines w:val="0"/>
        <w:pageBreakBefore w:val="0"/>
        <w:widowControl w:val="0"/>
        <w:kinsoku/>
        <w:wordWrap/>
        <w:overflowPunct/>
        <w:topLinePunct w:val="0"/>
        <w:autoSpaceDE/>
        <w:autoSpaceDN/>
        <w:bidi w:val="0"/>
        <w:adjustRightInd/>
        <w:snapToGrid/>
        <w:spacing w:before="0" w:after="0" w:line="360" w:lineRule="auto"/>
        <w:ind w:firstLine="482" w:firstLineChars="200"/>
        <w:jc w:val="left"/>
        <w:textAlignment w:val="auto"/>
        <w:rPr>
          <w:rFonts w:hint="default" w:ascii="仿宋" w:hAnsi="仿宋" w:eastAsia="仿宋" w:cs="仿宋"/>
          <w:b/>
          <w:bCs/>
          <w:kern w:val="2"/>
          <w:sz w:val="24"/>
          <w:szCs w:val="24"/>
          <w:highlight w:val="none"/>
          <w:lang w:val="en-US" w:eastAsia="zh-CN"/>
        </w:rPr>
      </w:pPr>
      <w:r>
        <w:rPr>
          <w:rFonts w:hint="eastAsia" w:ascii="仿宋" w:hAnsi="仿宋" w:eastAsia="仿宋" w:cs="仿宋"/>
          <w:b/>
          <w:bCs/>
          <w:kern w:val="2"/>
          <w:sz w:val="24"/>
          <w:szCs w:val="24"/>
          <w:highlight w:val="none"/>
          <w:lang w:val="en-US" w:eastAsia="zh-CN"/>
        </w:rPr>
        <w:t>★2.7</w:t>
      </w:r>
      <w:r>
        <w:rPr>
          <w:rFonts w:hint="eastAsia" w:ascii="仿宋" w:hAnsi="仿宋" w:eastAsia="仿宋" w:cs="仿宋"/>
          <w:b/>
          <w:bCs/>
          <w:kern w:val="2"/>
          <w:sz w:val="24"/>
          <w:szCs w:val="24"/>
          <w:highlight w:val="none"/>
          <w:lang w:val="en-US" w:eastAsia="zh-CN" w:bidi="ar-SA"/>
        </w:rPr>
        <w:t>所提供的</w:t>
      </w:r>
      <w:r>
        <w:rPr>
          <w:rFonts w:hint="eastAsia" w:ascii="仿宋" w:hAnsi="仿宋" w:eastAsia="仿宋" w:cs="仿宋"/>
          <w:b/>
          <w:bCs/>
          <w:kern w:val="2"/>
          <w:sz w:val="24"/>
          <w:szCs w:val="24"/>
          <w:highlight w:val="none"/>
          <w:lang w:val="en-US" w:eastAsia="zh-CN"/>
        </w:rPr>
        <w:t>变频控制柜具备有效中国国家强制性产品认证（3C 认证）证书，提供证书扫描件，否则投标无效。</w:t>
      </w:r>
    </w:p>
    <w:p w14:paraId="4E292B69">
      <w:pPr>
        <w:pStyle w:val="30"/>
        <w:keepNext w:val="0"/>
        <w:keepLines w:val="0"/>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4、材料设备要求</w:t>
      </w:r>
    </w:p>
    <w:p w14:paraId="18536256">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4.1通用要求：供应商列明的所有材料、设备，其规格、技术参数、品牌选型须符合国家现行规范及本项目需求；采购人书面确认后，施工阶段严禁擅自变更。</w:t>
      </w:r>
    </w:p>
    <w:p w14:paraId="4984F35F">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4.2进场验收：材料、设备进场前须向采购人送样确认，</w:t>
      </w:r>
      <w:r>
        <w:rPr>
          <w:rFonts w:hint="eastAsia" w:ascii="仿宋" w:hAnsi="仿宋" w:eastAsia="仿宋" w:cs="仿宋"/>
          <w:b/>
          <w:bCs/>
          <w:sz w:val="24"/>
          <w:szCs w:val="24"/>
          <w:highlight w:val="none"/>
          <w:lang w:val="en-US" w:eastAsia="zh-CN"/>
        </w:rPr>
        <w:t>进场时须办理报验手续，提供品质检测报告、产品合格证明、出厂证明及涉水材料卫生安全许可批件，</w:t>
      </w:r>
      <w:r>
        <w:rPr>
          <w:rFonts w:hint="eastAsia" w:ascii="仿宋" w:hAnsi="仿宋" w:eastAsia="仿宋" w:cs="仿宋"/>
          <w:b w:val="0"/>
          <w:bCs w:val="0"/>
          <w:sz w:val="24"/>
          <w:szCs w:val="24"/>
          <w:highlight w:val="none"/>
          <w:lang w:val="en-US" w:eastAsia="zh-CN"/>
        </w:rPr>
        <w:t>经采购人验收合格后方可使用；经认可的样品统一提交至采购人指定区域，供施工前复核确认。</w:t>
      </w:r>
    </w:p>
    <w:p w14:paraId="64F38470">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4.3包装与票据：液状材料采用一次性塑料桶或铁桶包装，设备需包装完好、全新无拆封；材料、设备进场时须提供正规代理商开具的、注明项目名称的供货发票及质量证明文件。</w:t>
      </w:r>
    </w:p>
    <w:p w14:paraId="34A0FF8E">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4.4无推荐品牌材料管理：无推荐品牌的施工材料，成交供应商施工前须将拟用品牌报采购人确认，经同意后方可采购施工；擅自使用的，须无条件返工，返工损失由供应商承担。</w:t>
      </w:r>
    </w:p>
    <w:p w14:paraId="4E051234">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4.5样品管理：选购重要材料及设备前，须经采购人确认；成交供应商未按约定提供样品、材质证明，或恶意多次提供品质不达标样品的，除承担工期延误责任外，还需承担相应违约责任。</w:t>
      </w:r>
    </w:p>
    <w:p w14:paraId="5868A80D">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4.6品牌执行：施工时须严格按照响应文件中承诺的品牌选用，确需调整的，须经采购人、监理单位书面确认后方可实施；供应商可提供优于磋商文件技术参数的产品。</w:t>
      </w:r>
    </w:p>
    <w:p w14:paraId="5788D058">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4.7不合格处理：供应商采购的材料、设备不符合设计或规范要求的，采购人有权拒绝接受，供应商须无条件更换至符合要求为止，由此增加的费用、延误的工期由供应商承担；若供应商拒绝更换，采购人可直接指定供货商，所发生费用由供应商承担，合同价格不予调整；采购人同时保留终止合同、要求供应商无条件退款并赔偿全部损失的权利。</w:t>
      </w:r>
    </w:p>
    <w:p w14:paraId="25950C39">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4.8抽检要求：采购人及相关工程技术人员可随时抽检材料、设备，若产品不合格或不符合设计及磋商文件要求，供应商须无条件更换，相关费用由供应商承担。</w:t>
      </w:r>
    </w:p>
    <w:p w14:paraId="6594291C">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4.9核心主材要求：PVC 管材管件、水箱内衬防渗材料、消毒设备、离心泵组等核心主材，进场时须额外提供产品型式检验报告、卫生安全检测报告，报告标注的技术参数须与确认的设计图纸、工程量清单一致；未提供报告或参数不符的，采购人有权拒绝验收及进场使用。</w:t>
      </w:r>
    </w:p>
    <w:p w14:paraId="7A7657C0">
      <w:pPr>
        <w:pStyle w:val="30"/>
        <w:keepNext w:val="0"/>
        <w:keepLines w:val="0"/>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5、工程建设要求</w:t>
      </w:r>
    </w:p>
    <w:p w14:paraId="1CB6D4AE">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5.1标准执行：项目的材料、设备、施工工艺及质量，必须符合现行国家、行业和地方与本项目相关的工程建设强制性标准及二次供水、饮用水安全相关规范。</w:t>
      </w:r>
    </w:p>
    <w:p w14:paraId="57CAAAE0">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5.2安全管理：供应商须按规定编制安全技术措施及专项施工方案（含有限空间作业方案、涉水施工、临时用电、动火作业、应急救援预案），建立安全生产责任制度、治安保卫制度及安全生产教育培训制度，如实编制安全生产记录，接受采购人、监理人及政府安全监督部门的检查与监督。</w:t>
      </w:r>
    </w:p>
    <w:p w14:paraId="5D9C01D4">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5.3环境保护：供应商须在施工组织设计中列明具体环境保护措施（含施工废水处理、生活污水、扬尘、噪音控制方案），合同履行期间采取合理措施保护施工现场环境，防止施工污染。</w:t>
      </w:r>
    </w:p>
    <w:p w14:paraId="0522DD33">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5.4文明施工：遵守国家及工程所在地安全生产要求，保持施工现场平整、物料堆放整齐；严格执行工程所在地政府行政管理部门的特殊要求。</w:t>
      </w:r>
    </w:p>
    <w:p w14:paraId="210A3C15">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5.5现场清理：工程移交前，供应商须清除施工现场全部工程设备、多余材料、垃圾及临时工程，保持施工现场清洁整齐，施工产生的废水需经处理达标后排放，严禁直接污染周边环境。</w:t>
      </w:r>
    </w:p>
    <w:p w14:paraId="065E5A66">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5.6设计变更：因现场实际情况需调整设计的，经采购人书面确认，方可实施；设计变更产生的所有费用包含在投标报价中，成交后不得向采购人收取任何额外费用。</w:t>
      </w:r>
    </w:p>
    <w:p w14:paraId="40EB2BD4">
      <w:pPr>
        <w:pStyle w:val="30"/>
        <w:keepNext w:val="0"/>
        <w:keepLines w:val="0"/>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6、质量要求</w:t>
      </w:r>
    </w:p>
    <w:p w14:paraId="67B42B5B">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6.1质量标准：工程质量必须符合现行国家有关工程施工质量验收规范和标准的要求。</w:t>
      </w:r>
    </w:p>
    <w:p w14:paraId="66EE0089">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6.2质量制度：供应商应建立完善的质量检查制度，向采购人提交完整的工程质量文件（含水质检测报告、消毒记录、水压试验记录、验收记录等），对材料、工程设备及工程所有部位、施工工艺进行全过程质量检查和检验，做好详细记录并编制工程质量报表，报送采购人审查。</w:t>
      </w:r>
    </w:p>
    <w:p w14:paraId="568C76F1">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6.3质量责任：采购人对材料、设备的检验合格或审核同意，不免除或减轻供应商对其提供的原材料、设备、构配件、半成品等应承担的质量保证责任。</w:t>
      </w:r>
    </w:p>
    <w:p w14:paraId="063768A9">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6.4检测试验：供应商须严格执行工程质量检验见证取样、封样及送检制度；提供试验、检测所需的协助、劳力、设备等条件，按采购人和监理工程师要求提供样品试验（含水质、管材、内衬材料抽样检测）；若供应商的试验、检测工作不符合规定，采购人和监理工程师可指定专业机构开展相关工作，所有费用由供应商承担。</w:t>
      </w:r>
    </w:p>
    <w:p w14:paraId="57F7F563">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6.5隐蔽工程：供应商应对工程隐蔽部位自检，做好中间验收工作，验收时须有采购人代表签字确认是否具备覆盖条件；验收不合格的，不得进行隐蔽施工及后续工序施工；未经采购人代表签字确认擅自覆盖的，采购人有权要求钻孔探测或揭开检查，无论质量是否合格，由此增加的费用、延误的工期由供应商承担。</w:t>
      </w:r>
    </w:p>
    <w:p w14:paraId="3F8F92BC">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6.6质量整改：因供应商原因造成工程质量未达合同约定标准、工程不合格的，采购人有权要求供应商无条件返工、采取补救措施直至符合要求，由此增加的费用、延误的工期由供应商承担。</w:t>
      </w:r>
    </w:p>
    <w:p w14:paraId="29DB648E">
      <w:pPr>
        <w:pStyle w:val="30"/>
        <w:keepNext w:val="0"/>
        <w:keepLines w:val="0"/>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7、施工要求</w:t>
      </w:r>
    </w:p>
    <w:p w14:paraId="389B01F1">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7.1安全文明标准化：施工现场必须符合国家住建部、省住建厅、市建设行政主管部门的建筑施工安全文明标准化规定，按要求设置围挡（围挡高度不低于1.8m，严禁无关人员进入施工区域），围挡设置费用已包含在合同总价中。</w:t>
      </w:r>
    </w:p>
    <w:p w14:paraId="167816FD">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7.2违规处理：未按照施工图纸及设计方案施工的，采购人有权终止合同。</w:t>
      </w:r>
    </w:p>
    <w:p w14:paraId="7536F4EF">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7.3垃圾清运：负责施工场地安全文明卫生管理，及时清理施工垃圾，所有建筑垃圾全部清运出场（分类堆放、合规处置）；工程交付前完成现场恢复及卫生保洁工作，方可退场。</w:t>
      </w:r>
    </w:p>
    <w:p w14:paraId="726380D0">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7.4水电使用：采购人可提供就近水电接口，供应商自行将水电引入施工工地，独立安装水、电表，按自来水公司、电业局收费标准承担水电费用；因未按时缴费造成停水、停电影响施工的，责任由供应商承担。</w:t>
      </w:r>
    </w:p>
    <w:p w14:paraId="688747F8">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7.5临时手续：施工所需临时用地、占道等手续、夜间施工许可，由供应商自行办理并承担所有费用（含损坏后原样恢复费用）；不得滥用、破坏其他专业供应商设施，不得浪费、损坏采购人提供的设施，否则照实赔偿，赔偿费用从工程款中扣除。</w:t>
      </w:r>
    </w:p>
    <w:p w14:paraId="57C85B27">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7.6安全承诺：供应商须书面承诺采取充足安全措施，杜绝施工现场安全隐患和事故，对自身施工的安全责任承担全部责任，对发生的安全事故承担全部损失及赔偿。</w:t>
      </w:r>
    </w:p>
    <w:p w14:paraId="7CC96435">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7.7现场保护：负责施工现场场地平整、道路修建、排水排污附属设施施工，费用包含在工程总造价中；做好给排水接口保护，若因施工造成堵塞、给排水不畅等问题，须无条件返修至符合使用标准。施工期间严禁擅自停水，必须制定临时供水保障方案，经采购人同意后方可施工。</w:t>
      </w:r>
    </w:p>
    <w:p w14:paraId="79F1EC73">
      <w:pPr>
        <w:pStyle w:val="3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7.8现场保护：施工全程采取有效措施做好现场保护，施工区域与学生活动区域全封闭物理隔离，设置1.8m 以上标准围挡，施工材料、垃圾不得占用校园通道，施工结束后须及时清理作业面，保持环境整洁，相关保护及清理费用已包含在总报价中。</w:t>
      </w:r>
    </w:p>
    <w:p w14:paraId="1439D4C3">
      <w:pPr>
        <w:pStyle w:val="30"/>
        <w:keepNext w:val="0"/>
        <w:keepLines w:val="0"/>
        <w:pageBreakBefore w:val="0"/>
        <w:widowControl w:val="0"/>
        <w:numPr>
          <w:ilvl w:val="0"/>
          <w:numId w:val="0"/>
        </w:numPr>
        <w:kinsoku/>
        <w:wordWrap/>
        <w:overflowPunct/>
        <w:topLinePunct w:val="0"/>
        <w:autoSpaceDE/>
        <w:autoSpaceDN/>
        <w:bidi w:val="0"/>
        <w:adjustRightInd/>
        <w:snapToGrid/>
        <w:spacing w:before="240" w:after="240" w:line="360" w:lineRule="auto"/>
        <w:jc w:val="left"/>
        <w:textAlignment w:val="auto"/>
        <w:rPr>
          <w:rFonts w:hint="eastAsia" w:ascii="仿宋" w:hAnsi="仿宋" w:eastAsia="仿宋" w:cs="仿宋"/>
          <w:b/>
          <w:sz w:val="28"/>
          <w:highlight w:val="none"/>
          <w:lang w:val="en-US" w:eastAsia="zh-CN"/>
        </w:rPr>
      </w:pPr>
      <w:r>
        <w:rPr>
          <w:rFonts w:hint="eastAsia" w:ascii="仿宋" w:hAnsi="仿宋" w:eastAsia="仿宋" w:cs="仿宋"/>
          <w:b/>
          <w:color w:val="auto"/>
          <w:sz w:val="28"/>
          <w:highlight w:val="none"/>
          <w:lang w:val="en-US" w:eastAsia="zh-CN"/>
        </w:rPr>
        <w:t>8</w:t>
      </w:r>
      <w:r>
        <w:rPr>
          <w:rFonts w:hint="eastAsia" w:ascii="仿宋" w:hAnsi="仿宋" w:eastAsia="仿宋" w:cs="仿宋"/>
          <w:b/>
          <w:sz w:val="28"/>
          <w:highlight w:val="none"/>
          <w:lang w:val="en-US" w:eastAsia="zh-CN"/>
        </w:rPr>
        <w:t>、人员配备要求</w:t>
      </w:r>
    </w:p>
    <w:tbl>
      <w:tblPr>
        <w:tblStyle w:val="18"/>
        <w:tblW w:w="0" w:type="auto"/>
        <w:jc w:val="center"/>
        <w:tblLayout w:type="fixed"/>
        <w:tblCellMar>
          <w:top w:w="0" w:type="dxa"/>
          <w:left w:w="108" w:type="dxa"/>
          <w:bottom w:w="0" w:type="dxa"/>
          <w:right w:w="108" w:type="dxa"/>
        </w:tblCellMar>
      </w:tblPr>
      <w:tblGrid>
        <w:gridCol w:w="1861"/>
        <w:gridCol w:w="7799"/>
      </w:tblGrid>
      <w:tr w14:paraId="636D4E40">
        <w:tblPrEx>
          <w:tblCellMar>
            <w:top w:w="0" w:type="dxa"/>
            <w:left w:w="108" w:type="dxa"/>
            <w:bottom w:w="0" w:type="dxa"/>
            <w:right w:w="108" w:type="dxa"/>
          </w:tblCellMar>
        </w:tblPrEx>
        <w:trPr>
          <w:jc w:val="center"/>
        </w:trPr>
        <w:tc>
          <w:tcPr>
            <w:tcW w:w="1861" w:type="dxa"/>
            <w:tcBorders>
              <w:top w:val="single" w:color="auto" w:sz="4" w:space="0"/>
              <w:left w:val="single" w:color="auto" w:sz="4" w:space="0"/>
              <w:bottom w:val="single" w:color="auto" w:sz="6" w:space="0"/>
              <w:right w:val="single" w:color="auto" w:sz="6" w:space="0"/>
            </w:tcBorders>
            <w:vAlign w:val="center"/>
          </w:tcPr>
          <w:p w14:paraId="693199C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b/>
                <w:bCs/>
                <w:spacing w:val="-20"/>
                <w:sz w:val="24"/>
                <w:highlight w:val="none"/>
              </w:rPr>
            </w:pPr>
            <w:r>
              <w:rPr>
                <w:rFonts w:hint="eastAsia" w:ascii="仿宋" w:hAnsi="仿宋" w:eastAsia="仿宋" w:cs="仿宋"/>
                <w:b/>
                <w:bCs/>
                <w:spacing w:val="-20"/>
                <w:sz w:val="24"/>
                <w:highlight w:val="none"/>
              </w:rPr>
              <w:t>内  容</w:t>
            </w:r>
          </w:p>
        </w:tc>
        <w:tc>
          <w:tcPr>
            <w:tcW w:w="7799" w:type="dxa"/>
            <w:tcBorders>
              <w:top w:val="single" w:color="auto" w:sz="4" w:space="0"/>
              <w:left w:val="nil"/>
              <w:bottom w:val="single" w:color="auto" w:sz="6" w:space="0"/>
              <w:right w:val="single" w:color="auto" w:sz="4" w:space="0"/>
            </w:tcBorders>
            <w:vAlign w:val="center"/>
          </w:tcPr>
          <w:p w14:paraId="13E12E4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b/>
                <w:bCs/>
                <w:sz w:val="24"/>
                <w:highlight w:val="none"/>
              </w:rPr>
            </w:pPr>
            <w:r>
              <w:rPr>
                <w:rFonts w:hint="eastAsia" w:ascii="仿宋" w:hAnsi="仿宋" w:eastAsia="仿宋" w:cs="仿宋"/>
                <w:b/>
                <w:bCs/>
                <w:sz w:val="24"/>
                <w:highlight w:val="none"/>
              </w:rPr>
              <w:t>具 体 要 求</w:t>
            </w:r>
          </w:p>
        </w:tc>
      </w:tr>
      <w:tr w14:paraId="52958BD4">
        <w:tblPrEx>
          <w:tblCellMar>
            <w:top w:w="0" w:type="dxa"/>
            <w:left w:w="108" w:type="dxa"/>
            <w:bottom w:w="0" w:type="dxa"/>
            <w:right w:w="108" w:type="dxa"/>
          </w:tblCellMar>
        </w:tblPrEx>
        <w:trPr>
          <w:jc w:val="center"/>
        </w:trPr>
        <w:tc>
          <w:tcPr>
            <w:tcW w:w="1861" w:type="dxa"/>
            <w:tcBorders>
              <w:top w:val="single" w:color="auto" w:sz="6" w:space="0"/>
              <w:left w:val="single" w:color="auto" w:sz="4" w:space="0"/>
              <w:bottom w:val="single" w:color="auto" w:sz="6" w:space="0"/>
              <w:right w:val="single" w:color="auto" w:sz="6" w:space="0"/>
            </w:tcBorders>
            <w:vAlign w:val="center"/>
          </w:tcPr>
          <w:p w14:paraId="5F3F59E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b/>
                <w:bCs/>
                <w:iCs/>
                <w:sz w:val="24"/>
                <w:highlight w:val="none"/>
              </w:rPr>
            </w:pPr>
            <w:r>
              <w:rPr>
                <w:rFonts w:hint="eastAsia" w:ascii="仿宋" w:hAnsi="仿宋" w:eastAsia="仿宋" w:cs="仿宋"/>
                <w:b/>
                <w:bCs/>
                <w:iCs/>
                <w:sz w:val="24"/>
                <w:highlight w:val="none"/>
              </w:rPr>
              <w:t>项目负责人</w:t>
            </w:r>
          </w:p>
          <w:p w14:paraId="0CB006B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b/>
                <w:bCs/>
                <w:spacing w:val="-20"/>
                <w:sz w:val="24"/>
                <w:highlight w:val="none"/>
                <w:lang w:eastAsia="zh-CN"/>
              </w:rPr>
            </w:pPr>
            <w:r>
              <w:rPr>
                <w:rFonts w:hint="eastAsia" w:ascii="仿宋" w:hAnsi="仿宋" w:eastAsia="仿宋" w:cs="仿宋"/>
                <w:b/>
                <w:bCs/>
                <w:iCs/>
                <w:sz w:val="24"/>
                <w:highlight w:val="none"/>
                <w:lang w:eastAsia="zh-CN"/>
              </w:rPr>
              <w:t>（</w:t>
            </w:r>
            <w:r>
              <w:rPr>
                <w:rFonts w:hint="eastAsia" w:ascii="仿宋" w:hAnsi="仿宋" w:eastAsia="仿宋" w:cs="仿宋"/>
                <w:b/>
                <w:bCs/>
                <w:iCs/>
                <w:sz w:val="24"/>
                <w:highlight w:val="none"/>
                <w:lang w:val="en-US" w:eastAsia="zh-CN"/>
              </w:rPr>
              <w:t>项目经理</w:t>
            </w:r>
            <w:r>
              <w:rPr>
                <w:rFonts w:hint="eastAsia" w:ascii="仿宋" w:hAnsi="仿宋" w:eastAsia="仿宋" w:cs="仿宋"/>
                <w:b/>
                <w:bCs/>
                <w:iCs/>
                <w:sz w:val="24"/>
                <w:highlight w:val="none"/>
                <w:lang w:eastAsia="zh-CN"/>
              </w:rPr>
              <w:t>）</w:t>
            </w:r>
          </w:p>
        </w:tc>
        <w:tc>
          <w:tcPr>
            <w:tcW w:w="7799" w:type="dxa"/>
            <w:tcBorders>
              <w:top w:val="single" w:color="auto" w:sz="6" w:space="0"/>
              <w:left w:val="nil"/>
              <w:bottom w:val="single" w:color="auto" w:sz="6" w:space="0"/>
              <w:right w:val="single" w:color="auto" w:sz="4" w:space="0"/>
            </w:tcBorders>
            <w:vAlign w:val="center"/>
          </w:tcPr>
          <w:p w14:paraId="4D37323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bCs/>
                <w:iCs/>
                <w:sz w:val="24"/>
                <w:highlight w:val="none"/>
              </w:rPr>
            </w:pPr>
            <w:r>
              <w:rPr>
                <w:rFonts w:hint="eastAsia" w:ascii="仿宋" w:hAnsi="仿宋" w:eastAsia="仿宋" w:cs="仿宋"/>
                <w:bCs/>
                <w:iCs/>
                <w:sz w:val="24"/>
                <w:highlight w:val="none"/>
              </w:rPr>
              <w:t>（1）项目负责人</w:t>
            </w:r>
            <w:r>
              <w:rPr>
                <w:rFonts w:hint="eastAsia" w:ascii="仿宋" w:hAnsi="仿宋" w:eastAsia="仿宋" w:cs="仿宋"/>
                <w:bCs/>
                <w:iCs/>
                <w:sz w:val="24"/>
                <w:highlight w:val="none"/>
                <w:u w:val="single"/>
              </w:rPr>
              <w:t>1</w:t>
            </w:r>
            <w:r>
              <w:rPr>
                <w:rFonts w:hint="eastAsia" w:ascii="仿宋" w:hAnsi="仿宋" w:eastAsia="仿宋" w:cs="仿宋"/>
                <w:bCs/>
                <w:iCs/>
                <w:sz w:val="24"/>
                <w:highlight w:val="none"/>
              </w:rPr>
              <w:t>人，注册建造师注册专业及等级：</w:t>
            </w:r>
            <w:r>
              <w:rPr>
                <w:rFonts w:hint="eastAsia" w:ascii="仿宋" w:hAnsi="仿宋" w:eastAsia="仿宋" w:cs="仿宋"/>
                <w:b/>
                <w:bCs w:val="0"/>
                <w:iCs/>
                <w:sz w:val="24"/>
                <w:highlight w:val="none"/>
                <w:u w:val="single"/>
              </w:rPr>
              <w:t>机电工程专业或市政公用工程专业二级及以上</w:t>
            </w:r>
            <w:r>
              <w:rPr>
                <w:rFonts w:hint="eastAsia" w:ascii="仿宋" w:hAnsi="仿宋" w:eastAsia="仿宋" w:cs="仿宋"/>
                <w:bCs/>
                <w:iCs/>
                <w:sz w:val="24"/>
                <w:highlight w:val="none"/>
              </w:rPr>
              <w:t>，并持有</w:t>
            </w:r>
            <w:r>
              <w:rPr>
                <w:rFonts w:hint="eastAsia" w:ascii="仿宋" w:hAnsi="仿宋" w:eastAsia="仿宋" w:cs="仿宋"/>
                <w:b/>
                <w:bCs w:val="0"/>
                <w:iCs/>
                <w:sz w:val="24"/>
                <w:highlight w:val="none"/>
                <w:u w:val="single"/>
              </w:rPr>
              <w:t>城乡建设行政主管部门颁发的有效安全生产考核合格证书（B 证）</w:t>
            </w:r>
            <w:r>
              <w:rPr>
                <w:rFonts w:hint="eastAsia" w:ascii="仿宋" w:hAnsi="仿宋" w:eastAsia="仿宋" w:cs="仿宋"/>
                <w:bCs/>
                <w:iCs/>
                <w:sz w:val="24"/>
                <w:highlight w:val="none"/>
              </w:rPr>
              <w:t>。</w:t>
            </w:r>
          </w:p>
          <w:p w14:paraId="1E3F53D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b w:val="0"/>
                <w:bCs/>
                <w:iCs/>
                <w:sz w:val="24"/>
                <w:highlight w:val="none"/>
                <w:lang w:eastAsia="zh-CN"/>
              </w:rPr>
            </w:pPr>
            <w:r>
              <w:rPr>
                <w:rFonts w:hint="eastAsia" w:ascii="仿宋" w:hAnsi="仿宋" w:eastAsia="仿宋" w:cs="仿宋"/>
                <w:b w:val="0"/>
                <w:bCs/>
                <w:iCs/>
                <w:sz w:val="24"/>
                <w:highlight w:val="none"/>
                <w:lang w:eastAsia="zh-CN"/>
              </w:rPr>
              <w:t>（</w:t>
            </w:r>
            <w:r>
              <w:rPr>
                <w:rFonts w:hint="eastAsia" w:ascii="仿宋" w:hAnsi="仿宋" w:eastAsia="仿宋" w:cs="仿宋"/>
                <w:b w:val="0"/>
                <w:bCs/>
                <w:iCs/>
                <w:sz w:val="24"/>
                <w:highlight w:val="none"/>
                <w:lang w:val="en-US" w:eastAsia="zh-CN"/>
              </w:rPr>
              <w:t>2</w:t>
            </w:r>
            <w:r>
              <w:rPr>
                <w:rFonts w:hint="eastAsia" w:ascii="仿宋" w:hAnsi="仿宋" w:eastAsia="仿宋" w:cs="仿宋"/>
                <w:b w:val="0"/>
                <w:bCs/>
                <w:iCs/>
                <w:sz w:val="24"/>
                <w:highlight w:val="none"/>
                <w:lang w:eastAsia="zh-CN"/>
              </w:rPr>
              <w:t>）</w:t>
            </w:r>
            <w:r>
              <w:rPr>
                <w:rFonts w:hint="eastAsia" w:ascii="仿宋" w:hAnsi="仿宋" w:eastAsia="仿宋" w:cs="仿宋"/>
                <w:bCs/>
                <w:iCs/>
                <w:sz w:val="24"/>
                <w:highlight w:val="none"/>
              </w:rPr>
              <w:t>项目负责人</w:t>
            </w:r>
            <w:r>
              <w:rPr>
                <w:rFonts w:hint="eastAsia" w:ascii="仿宋" w:hAnsi="仿宋" w:eastAsia="仿宋" w:cs="仿宋"/>
                <w:b w:val="0"/>
                <w:bCs/>
                <w:iCs/>
                <w:sz w:val="24"/>
                <w:highlight w:val="none"/>
                <w:lang w:eastAsia="zh-CN"/>
              </w:rPr>
              <w:t>须为</w:t>
            </w:r>
            <w:r>
              <w:rPr>
                <w:rFonts w:hint="eastAsia" w:ascii="仿宋" w:hAnsi="仿宋" w:eastAsia="仿宋" w:cs="仿宋"/>
                <w:b w:val="0"/>
                <w:bCs/>
                <w:iCs/>
                <w:sz w:val="24"/>
                <w:highlight w:val="none"/>
                <w:lang w:val="en-US" w:eastAsia="zh-CN"/>
              </w:rPr>
              <w:t>供应商</w:t>
            </w:r>
            <w:r>
              <w:rPr>
                <w:rFonts w:hint="eastAsia" w:ascii="仿宋" w:hAnsi="仿宋" w:eastAsia="仿宋" w:cs="仿宋"/>
                <w:b w:val="0"/>
                <w:bCs/>
                <w:iCs/>
                <w:sz w:val="24"/>
                <w:highlight w:val="none"/>
                <w:lang w:eastAsia="zh-CN"/>
              </w:rPr>
              <w:t>本企业在岗人员，以建造师注册证书上的聘用企业为准。</w:t>
            </w:r>
          </w:p>
          <w:p w14:paraId="3FF27F3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default"/>
                <w:highlight w:val="none"/>
              </w:rPr>
            </w:pPr>
            <w:r>
              <w:rPr>
                <w:rFonts w:hint="eastAsia" w:ascii="仿宋" w:hAnsi="仿宋" w:eastAsia="仿宋" w:cs="仿宋"/>
                <w:b/>
                <w:bCs w:val="0"/>
                <w:iCs/>
                <w:sz w:val="24"/>
                <w:highlight w:val="none"/>
                <w:lang w:eastAsia="zh-CN"/>
              </w:rPr>
              <w:t>（</w:t>
            </w:r>
            <w:r>
              <w:rPr>
                <w:rFonts w:hint="eastAsia" w:ascii="仿宋" w:hAnsi="仿宋" w:eastAsia="仿宋" w:cs="仿宋"/>
                <w:b/>
                <w:bCs w:val="0"/>
                <w:iCs/>
                <w:sz w:val="24"/>
                <w:highlight w:val="none"/>
                <w:lang w:val="en-US" w:eastAsia="zh-CN"/>
              </w:rPr>
              <w:t>3</w:t>
            </w:r>
            <w:r>
              <w:rPr>
                <w:rFonts w:hint="eastAsia" w:ascii="仿宋" w:hAnsi="仿宋" w:eastAsia="仿宋" w:cs="仿宋"/>
                <w:b/>
                <w:bCs w:val="0"/>
                <w:iCs/>
                <w:sz w:val="24"/>
                <w:highlight w:val="none"/>
                <w:lang w:eastAsia="zh-CN"/>
              </w:rPr>
              <w:t>）</w:t>
            </w:r>
            <w:r>
              <w:rPr>
                <w:rFonts w:hint="eastAsia" w:ascii="仿宋" w:hAnsi="仿宋" w:eastAsia="仿宋" w:cs="仿宋"/>
                <w:b/>
                <w:bCs w:val="0"/>
                <w:iCs/>
                <w:sz w:val="24"/>
                <w:highlight w:val="none"/>
              </w:rPr>
              <w:t>★项目负责人每月到位率必须不少于22天，每天不少于4小时。（提供书面承诺）</w:t>
            </w:r>
          </w:p>
          <w:p w14:paraId="12B0432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highlight w:val="none"/>
              </w:rPr>
            </w:pPr>
            <w:r>
              <w:rPr>
                <w:rFonts w:hint="eastAsia" w:ascii="仿宋" w:hAnsi="仿宋" w:eastAsia="仿宋" w:cs="仿宋"/>
                <w:b w:val="0"/>
                <w:bCs/>
                <w:iCs/>
                <w:sz w:val="24"/>
                <w:highlight w:val="none"/>
                <w:lang w:val="en-US" w:eastAsia="zh-CN"/>
              </w:rPr>
              <w:t>（4）供应商</w:t>
            </w:r>
            <w:r>
              <w:rPr>
                <w:rFonts w:hint="eastAsia" w:ascii="仿宋" w:hAnsi="仿宋" w:eastAsia="仿宋" w:cs="仿宋"/>
                <w:b w:val="0"/>
                <w:bCs/>
                <w:iCs/>
                <w:sz w:val="24"/>
                <w:highlight w:val="none"/>
                <w:lang w:eastAsia="zh-CN"/>
              </w:rPr>
              <w:t>须书面承诺，</w:t>
            </w:r>
            <w:r>
              <w:rPr>
                <w:rFonts w:hint="eastAsia" w:ascii="仿宋" w:hAnsi="仿宋" w:eastAsia="仿宋" w:cs="仿宋"/>
                <w:b w:val="0"/>
                <w:bCs/>
                <w:iCs/>
                <w:sz w:val="24"/>
                <w:highlight w:val="none"/>
                <w:lang w:val="en-US" w:eastAsia="zh-CN"/>
              </w:rPr>
              <w:t>明确项目负责人负责</w:t>
            </w:r>
            <w:r>
              <w:rPr>
                <w:rFonts w:hint="eastAsia" w:ascii="仿宋" w:hAnsi="仿宋" w:eastAsia="仿宋" w:cs="仿宋"/>
                <w:b w:val="0"/>
                <w:bCs/>
                <w:iCs/>
                <w:sz w:val="24"/>
                <w:highlight w:val="none"/>
                <w:lang w:eastAsia="zh-CN"/>
              </w:rPr>
              <w:t>沟通协调施工过程中发生的相关事项。</w:t>
            </w:r>
          </w:p>
        </w:tc>
      </w:tr>
      <w:tr w14:paraId="0214FEC4">
        <w:tblPrEx>
          <w:tblCellMar>
            <w:top w:w="0" w:type="dxa"/>
            <w:left w:w="108" w:type="dxa"/>
            <w:bottom w:w="0" w:type="dxa"/>
            <w:right w:w="108" w:type="dxa"/>
          </w:tblCellMar>
        </w:tblPrEx>
        <w:trPr>
          <w:jc w:val="center"/>
        </w:trPr>
        <w:tc>
          <w:tcPr>
            <w:tcW w:w="1861" w:type="dxa"/>
            <w:tcBorders>
              <w:top w:val="single" w:color="auto" w:sz="6" w:space="0"/>
              <w:left w:val="single" w:color="auto" w:sz="4" w:space="0"/>
              <w:bottom w:val="single" w:color="auto" w:sz="6" w:space="0"/>
              <w:right w:val="single" w:color="auto" w:sz="6" w:space="0"/>
            </w:tcBorders>
            <w:vAlign w:val="center"/>
          </w:tcPr>
          <w:p w14:paraId="7B0DE7C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b/>
                <w:bCs/>
                <w:spacing w:val="-20"/>
                <w:sz w:val="24"/>
                <w:highlight w:val="none"/>
              </w:rPr>
            </w:pPr>
            <w:r>
              <w:rPr>
                <w:rFonts w:hint="eastAsia" w:ascii="仿宋" w:hAnsi="仿宋" w:eastAsia="仿宋" w:cs="仿宋"/>
                <w:b/>
                <w:bCs/>
                <w:iCs/>
                <w:sz w:val="24"/>
                <w:highlight w:val="none"/>
              </w:rPr>
              <w:t>技术负责人</w:t>
            </w:r>
          </w:p>
        </w:tc>
        <w:tc>
          <w:tcPr>
            <w:tcW w:w="7799" w:type="dxa"/>
            <w:tcBorders>
              <w:top w:val="single" w:color="auto" w:sz="6" w:space="0"/>
              <w:left w:val="nil"/>
              <w:bottom w:val="single" w:color="auto" w:sz="6" w:space="0"/>
              <w:right w:val="single" w:color="auto" w:sz="4" w:space="0"/>
            </w:tcBorders>
            <w:vAlign w:val="center"/>
          </w:tcPr>
          <w:p w14:paraId="3A97EFC3">
            <w:pPr>
              <w:keepNext w:val="0"/>
              <w:keepLines w:val="0"/>
              <w:pageBreakBefore w:val="0"/>
              <w:widowControl w:val="0"/>
              <w:numPr>
                <w:ilvl w:val="0"/>
                <w:numId w:val="0"/>
              </w:numPr>
              <w:suppressLineNumbers w:val="0"/>
              <w:kinsoku/>
              <w:wordWrap/>
              <w:overflowPunct/>
              <w:topLinePunct w:val="0"/>
              <w:bidi w:val="0"/>
              <w:spacing w:before="0" w:beforeAutospacing="0" w:after="0" w:afterAutospacing="0" w:line="360" w:lineRule="auto"/>
              <w:ind w:left="0" w:leftChars="0" w:right="0" w:rightChars="0"/>
              <w:rPr>
                <w:rFonts w:hint="eastAsia" w:ascii="仿宋" w:hAnsi="仿宋" w:eastAsia="仿宋" w:cs="仿宋"/>
                <w:bCs/>
                <w:iCs/>
                <w:sz w:val="24"/>
                <w:highlight w:val="none"/>
              </w:rPr>
            </w:pPr>
            <w:r>
              <w:rPr>
                <w:rFonts w:hint="eastAsia" w:ascii="仿宋" w:hAnsi="仿宋" w:eastAsia="仿宋" w:cs="仿宋"/>
                <w:bCs/>
                <w:iCs/>
                <w:kern w:val="2"/>
                <w:sz w:val="24"/>
                <w:szCs w:val="24"/>
                <w:highlight w:val="none"/>
                <w:lang w:val="en-US" w:eastAsia="zh-CN" w:bidi="ar-SA"/>
              </w:rPr>
              <w:t>（1）</w:t>
            </w:r>
            <w:r>
              <w:rPr>
                <w:rFonts w:hint="eastAsia" w:ascii="仿宋" w:hAnsi="仿宋" w:eastAsia="仿宋" w:cs="仿宋"/>
                <w:bCs/>
                <w:iCs/>
                <w:sz w:val="24"/>
                <w:highlight w:val="none"/>
              </w:rPr>
              <w:t>项目技术负责人</w:t>
            </w:r>
            <w:r>
              <w:rPr>
                <w:rFonts w:hint="eastAsia" w:ascii="仿宋" w:hAnsi="仿宋" w:eastAsia="仿宋" w:cs="仿宋"/>
                <w:bCs/>
                <w:iCs/>
                <w:sz w:val="24"/>
                <w:highlight w:val="none"/>
                <w:u w:val="single"/>
              </w:rPr>
              <w:t>1</w:t>
            </w:r>
            <w:r>
              <w:rPr>
                <w:rFonts w:hint="eastAsia" w:ascii="仿宋" w:hAnsi="仿宋" w:eastAsia="仿宋" w:cs="仿宋"/>
                <w:bCs/>
                <w:iCs/>
                <w:sz w:val="24"/>
                <w:highlight w:val="none"/>
              </w:rPr>
              <w:t>人，职称：</w:t>
            </w:r>
            <w:r>
              <w:rPr>
                <w:rFonts w:hint="eastAsia" w:ascii="仿宋" w:hAnsi="仿宋" w:eastAsia="仿宋" w:cs="仿宋"/>
                <w:b/>
                <w:bCs w:val="0"/>
                <w:iCs/>
                <w:sz w:val="24"/>
                <w:highlight w:val="none"/>
                <w:lang w:val="en-US" w:eastAsia="zh-CN"/>
              </w:rPr>
              <w:t>给排水、机电、建筑工程或市政公用工程专业</w:t>
            </w:r>
            <w:r>
              <w:rPr>
                <w:rFonts w:hint="eastAsia" w:ascii="仿宋" w:hAnsi="仿宋" w:eastAsia="仿宋" w:cs="仿宋"/>
                <w:b/>
                <w:bCs w:val="0"/>
                <w:iCs/>
                <w:sz w:val="24"/>
                <w:highlight w:val="none"/>
                <w:u w:val="single"/>
              </w:rPr>
              <w:t>中级及以上职称</w:t>
            </w:r>
            <w:r>
              <w:rPr>
                <w:rFonts w:hint="eastAsia" w:ascii="仿宋" w:hAnsi="仿宋" w:eastAsia="仿宋" w:cs="仿宋"/>
                <w:b/>
                <w:bCs w:val="0"/>
                <w:iCs/>
                <w:sz w:val="24"/>
                <w:highlight w:val="none"/>
                <w:u w:val="single"/>
                <w:lang w:eastAsia="zh-CN"/>
              </w:rPr>
              <w:t>。</w:t>
            </w:r>
          </w:p>
          <w:p w14:paraId="401B6E04">
            <w:pPr>
              <w:keepNext w:val="0"/>
              <w:keepLines w:val="0"/>
              <w:pageBreakBefore w:val="0"/>
              <w:widowControl w:val="0"/>
              <w:numPr>
                <w:ilvl w:val="0"/>
                <w:numId w:val="0"/>
              </w:numPr>
              <w:suppressLineNumbers w:val="0"/>
              <w:kinsoku/>
              <w:wordWrap/>
              <w:overflowPunct/>
              <w:topLinePunct w:val="0"/>
              <w:bidi w:val="0"/>
              <w:spacing w:before="0" w:beforeAutospacing="0" w:after="0" w:afterAutospacing="0" w:line="360" w:lineRule="auto"/>
              <w:ind w:left="0" w:leftChars="0" w:right="0" w:rightChars="0"/>
              <w:rPr>
                <w:rFonts w:hint="eastAsia" w:ascii="仿宋" w:hAnsi="仿宋" w:eastAsia="仿宋" w:cs="仿宋"/>
                <w:bCs/>
                <w:iCs/>
                <w:sz w:val="24"/>
                <w:highlight w:val="none"/>
              </w:rPr>
            </w:pPr>
            <w:r>
              <w:rPr>
                <w:rFonts w:hint="eastAsia" w:ascii="仿宋" w:hAnsi="仿宋" w:eastAsia="仿宋" w:cs="仿宋"/>
                <w:bCs/>
                <w:iCs/>
                <w:kern w:val="2"/>
                <w:sz w:val="24"/>
                <w:szCs w:val="24"/>
                <w:highlight w:val="none"/>
                <w:lang w:val="en-US" w:eastAsia="zh-CN" w:bidi="ar-SA"/>
              </w:rPr>
              <w:t>（2）</w:t>
            </w:r>
            <w:r>
              <w:rPr>
                <w:rFonts w:hint="eastAsia" w:ascii="仿宋" w:hAnsi="仿宋" w:eastAsia="仿宋" w:cs="仿宋"/>
                <w:b w:val="0"/>
                <w:bCs/>
                <w:iCs/>
                <w:sz w:val="24"/>
                <w:highlight w:val="none"/>
                <w:lang w:eastAsia="zh-CN"/>
              </w:rPr>
              <w:t>为</w:t>
            </w:r>
            <w:r>
              <w:rPr>
                <w:rFonts w:hint="eastAsia" w:ascii="仿宋" w:hAnsi="仿宋" w:eastAsia="仿宋" w:cs="仿宋"/>
                <w:b w:val="0"/>
                <w:bCs/>
                <w:iCs/>
                <w:sz w:val="24"/>
                <w:highlight w:val="none"/>
                <w:lang w:val="en-US" w:eastAsia="zh-CN"/>
              </w:rPr>
              <w:t>供应商</w:t>
            </w:r>
            <w:r>
              <w:rPr>
                <w:rFonts w:hint="eastAsia" w:ascii="仿宋" w:hAnsi="仿宋" w:eastAsia="仿宋" w:cs="仿宋"/>
                <w:b w:val="0"/>
                <w:bCs/>
                <w:iCs/>
                <w:sz w:val="24"/>
                <w:highlight w:val="none"/>
                <w:lang w:eastAsia="zh-CN"/>
              </w:rPr>
              <w:t>本企业在岗人员，以职称证书或社保证明为准</w:t>
            </w:r>
            <w:r>
              <w:rPr>
                <w:rFonts w:hint="eastAsia" w:ascii="仿宋" w:hAnsi="仿宋" w:eastAsia="仿宋" w:cs="仿宋"/>
                <w:bCs/>
                <w:iCs/>
                <w:sz w:val="24"/>
                <w:highlight w:val="none"/>
              </w:rPr>
              <w:t>。</w:t>
            </w:r>
          </w:p>
        </w:tc>
      </w:tr>
      <w:tr w14:paraId="1582E224">
        <w:tblPrEx>
          <w:tblCellMar>
            <w:top w:w="0" w:type="dxa"/>
            <w:left w:w="108" w:type="dxa"/>
            <w:bottom w:w="0" w:type="dxa"/>
            <w:right w:w="108" w:type="dxa"/>
          </w:tblCellMar>
        </w:tblPrEx>
        <w:trPr>
          <w:jc w:val="center"/>
        </w:trPr>
        <w:tc>
          <w:tcPr>
            <w:tcW w:w="1861" w:type="dxa"/>
            <w:tcBorders>
              <w:top w:val="single" w:color="auto" w:sz="6" w:space="0"/>
              <w:left w:val="single" w:color="auto" w:sz="4" w:space="0"/>
              <w:bottom w:val="single" w:color="auto" w:sz="6" w:space="0"/>
              <w:right w:val="single" w:color="auto" w:sz="6" w:space="0"/>
            </w:tcBorders>
            <w:vAlign w:val="center"/>
          </w:tcPr>
          <w:p w14:paraId="65B1B35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b/>
                <w:bCs/>
                <w:iCs/>
                <w:sz w:val="24"/>
                <w:highlight w:val="none"/>
              </w:rPr>
            </w:pPr>
            <w:r>
              <w:rPr>
                <w:rFonts w:hint="eastAsia" w:ascii="仿宋" w:hAnsi="仿宋" w:eastAsia="仿宋" w:cs="仿宋"/>
                <w:b/>
                <w:bCs/>
                <w:iCs/>
                <w:sz w:val="24"/>
                <w:highlight w:val="none"/>
              </w:rPr>
              <w:t>其他施工现</w:t>
            </w:r>
          </w:p>
          <w:p w14:paraId="6DA663B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b/>
                <w:bCs/>
                <w:iCs/>
                <w:sz w:val="24"/>
                <w:highlight w:val="none"/>
              </w:rPr>
            </w:pPr>
            <w:r>
              <w:rPr>
                <w:rFonts w:hint="eastAsia" w:ascii="仿宋" w:hAnsi="仿宋" w:eastAsia="仿宋" w:cs="仿宋"/>
                <w:b/>
                <w:bCs/>
                <w:iCs/>
                <w:sz w:val="24"/>
                <w:highlight w:val="none"/>
              </w:rPr>
              <w:t>场管理人员</w:t>
            </w:r>
          </w:p>
        </w:tc>
        <w:tc>
          <w:tcPr>
            <w:tcW w:w="7799" w:type="dxa"/>
            <w:tcBorders>
              <w:top w:val="single" w:color="auto" w:sz="6" w:space="0"/>
              <w:left w:val="nil"/>
              <w:bottom w:val="single" w:color="auto" w:sz="6" w:space="0"/>
              <w:right w:val="single" w:color="auto" w:sz="4" w:space="0"/>
            </w:tcBorders>
            <w:vAlign w:val="center"/>
          </w:tcPr>
          <w:p w14:paraId="2E912F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Cs/>
                <w:iCs/>
                <w:sz w:val="24"/>
                <w:highlight w:val="none"/>
              </w:rPr>
            </w:pPr>
            <w:r>
              <w:rPr>
                <w:rFonts w:hint="eastAsia" w:ascii="仿宋" w:hAnsi="仿宋" w:eastAsia="仿宋" w:cs="仿宋"/>
                <w:bCs/>
                <w:iCs/>
                <w:sz w:val="24"/>
                <w:highlight w:val="none"/>
              </w:rPr>
              <w:t>施工员：1人；职业培训合格证书：设备安装施工员。</w:t>
            </w:r>
          </w:p>
          <w:p w14:paraId="54B976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Cs/>
                <w:iCs/>
                <w:sz w:val="24"/>
                <w:highlight w:val="none"/>
              </w:rPr>
            </w:pPr>
            <w:r>
              <w:rPr>
                <w:rFonts w:hint="eastAsia" w:ascii="仿宋" w:hAnsi="仿宋" w:eastAsia="仿宋" w:cs="仿宋"/>
                <w:bCs/>
                <w:iCs/>
                <w:sz w:val="24"/>
                <w:highlight w:val="none"/>
              </w:rPr>
              <w:t>质量员：1人；职业培训合格证书：质量员。</w:t>
            </w:r>
          </w:p>
          <w:p w14:paraId="5B7B2B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bCs/>
                <w:iCs/>
                <w:sz w:val="24"/>
                <w:highlight w:val="none"/>
              </w:rPr>
            </w:pPr>
            <w:r>
              <w:rPr>
                <w:rFonts w:hint="eastAsia" w:ascii="仿宋" w:hAnsi="仿宋" w:eastAsia="仿宋" w:cs="仿宋"/>
                <w:bCs/>
                <w:iCs/>
                <w:sz w:val="24"/>
                <w:highlight w:val="none"/>
              </w:rPr>
              <w:t>材料员：1人；职业培训合格证书：材料</w:t>
            </w:r>
            <w:r>
              <w:rPr>
                <w:rFonts w:hint="eastAsia" w:ascii="仿宋" w:hAnsi="仿宋" w:eastAsia="仿宋" w:cs="仿宋"/>
                <w:bCs/>
                <w:iCs/>
                <w:sz w:val="24"/>
                <w:highlight w:val="none"/>
                <w:lang w:val="en-US" w:eastAsia="zh-CN"/>
              </w:rPr>
              <w:t>员</w:t>
            </w:r>
            <w:r>
              <w:rPr>
                <w:rFonts w:hint="eastAsia" w:ascii="仿宋" w:hAnsi="仿宋" w:eastAsia="仿宋" w:cs="仿宋"/>
                <w:bCs/>
                <w:iCs/>
                <w:sz w:val="24"/>
                <w:highlight w:val="none"/>
              </w:rPr>
              <w:t>。</w:t>
            </w:r>
          </w:p>
          <w:p w14:paraId="71382B2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bCs/>
                <w:iCs/>
                <w:sz w:val="24"/>
                <w:highlight w:val="none"/>
              </w:rPr>
            </w:pPr>
            <w:r>
              <w:rPr>
                <w:rFonts w:hint="eastAsia" w:ascii="仿宋" w:hAnsi="仿宋" w:eastAsia="仿宋" w:cs="仿宋"/>
                <w:bCs/>
                <w:iCs/>
                <w:sz w:val="24"/>
                <w:highlight w:val="none"/>
              </w:rPr>
              <w:t>资料员：1人；职业培训合格证书：资料</w:t>
            </w:r>
            <w:r>
              <w:rPr>
                <w:rFonts w:hint="eastAsia" w:ascii="仿宋" w:hAnsi="仿宋" w:eastAsia="仿宋" w:cs="仿宋"/>
                <w:bCs/>
                <w:iCs/>
                <w:sz w:val="24"/>
                <w:highlight w:val="none"/>
                <w:lang w:val="en-US" w:eastAsia="zh-CN"/>
              </w:rPr>
              <w:t>员</w:t>
            </w:r>
            <w:r>
              <w:rPr>
                <w:rFonts w:hint="eastAsia" w:ascii="仿宋" w:hAnsi="仿宋" w:eastAsia="仿宋" w:cs="仿宋"/>
                <w:bCs/>
                <w:iCs/>
                <w:sz w:val="24"/>
                <w:highlight w:val="none"/>
              </w:rPr>
              <w:t>。</w:t>
            </w:r>
          </w:p>
          <w:p w14:paraId="2DD90C6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bCs/>
                <w:iCs/>
                <w:sz w:val="24"/>
                <w:highlight w:val="none"/>
              </w:rPr>
            </w:pPr>
            <w:r>
              <w:rPr>
                <w:rFonts w:hint="eastAsia" w:ascii="仿宋" w:hAnsi="仿宋" w:eastAsia="仿宋" w:cs="仿宋"/>
                <w:bCs/>
                <w:iCs/>
                <w:sz w:val="24"/>
                <w:highlight w:val="none"/>
              </w:rPr>
              <w:t>安全员：1 人；职业培训合格证书：安全生产考核合格证书C证。</w:t>
            </w:r>
          </w:p>
          <w:p w14:paraId="4EE2F94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sz w:val="24"/>
                <w:highlight w:val="none"/>
              </w:rPr>
            </w:pPr>
            <w:r>
              <w:rPr>
                <w:rFonts w:hint="eastAsia" w:ascii="仿宋" w:hAnsi="仿宋" w:eastAsia="仿宋" w:cs="仿宋"/>
                <w:bCs/>
                <w:iCs/>
                <w:sz w:val="24"/>
                <w:highlight w:val="none"/>
              </w:rPr>
              <w:t>注：除安全员外，其他的岗位证书是指住房和城乡建设领域施工现场专业人员职业培训合格证书，并以合格证注明的岗位名称为准。</w:t>
            </w:r>
          </w:p>
        </w:tc>
      </w:tr>
      <w:tr w14:paraId="37E6ED2C">
        <w:tblPrEx>
          <w:tblCellMar>
            <w:top w:w="0" w:type="dxa"/>
            <w:left w:w="108" w:type="dxa"/>
            <w:bottom w:w="0" w:type="dxa"/>
            <w:right w:w="108" w:type="dxa"/>
          </w:tblCellMar>
        </w:tblPrEx>
        <w:trPr>
          <w:jc w:val="center"/>
        </w:trPr>
        <w:tc>
          <w:tcPr>
            <w:tcW w:w="1861" w:type="dxa"/>
            <w:tcBorders>
              <w:top w:val="single" w:color="auto" w:sz="6" w:space="0"/>
              <w:left w:val="single" w:color="auto" w:sz="4" w:space="0"/>
              <w:bottom w:val="single" w:color="auto" w:sz="6" w:space="0"/>
              <w:right w:val="single" w:color="auto" w:sz="6" w:space="0"/>
            </w:tcBorders>
            <w:vAlign w:val="center"/>
          </w:tcPr>
          <w:p w14:paraId="402A450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其它要求</w:t>
            </w:r>
          </w:p>
          <w:p w14:paraId="4552991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b/>
                <w:bCs/>
                <w:spacing w:val="-20"/>
                <w:sz w:val="24"/>
                <w:highlight w:val="none"/>
              </w:rPr>
            </w:pPr>
            <w:r>
              <w:rPr>
                <w:rFonts w:hint="eastAsia" w:ascii="仿宋" w:hAnsi="仿宋" w:eastAsia="仿宋" w:cs="仿宋"/>
                <w:color w:val="000000"/>
                <w:sz w:val="24"/>
                <w:highlight w:val="none"/>
              </w:rPr>
              <w:t>及说明</w:t>
            </w:r>
          </w:p>
        </w:tc>
        <w:tc>
          <w:tcPr>
            <w:tcW w:w="7799" w:type="dxa"/>
            <w:tcBorders>
              <w:top w:val="single" w:color="auto" w:sz="6" w:space="0"/>
              <w:left w:val="nil"/>
              <w:bottom w:val="single" w:color="auto" w:sz="6" w:space="0"/>
              <w:right w:val="single" w:color="auto" w:sz="4" w:space="0"/>
            </w:tcBorders>
            <w:vAlign w:val="center"/>
          </w:tcPr>
          <w:p w14:paraId="6CC17250">
            <w:pPr>
              <w:keepNext w:val="0"/>
              <w:keepLines w:val="0"/>
              <w:pageBreakBefore w:val="0"/>
              <w:widowControl w:val="0"/>
              <w:numPr>
                <w:ilvl w:val="0"/>
                <w:numId w:val="0"/>
              </w:numPr>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sz w:val="24"/>
                <w:highlight w:val="none"/>
              </w:rPr>
            </w:pPr>
            <w:r>
              <w:rPr>
                <w:rFonts w:hint="eastAsia" w:ascii="仿宋" w:hAnsi="仿宋" w:eastAsia="仿宋" w:cs="仿宋"/>
                <w:kern w:val="2"/>
                <w:sz w:val="24"/>
                <w:szCs w:val="24"/>
                <w:highlight w:val="none"/>
                <w:lang w:val="en-US" w:eastAsia="zh-CN" w:bidi="ar-SA"/>
              </w:rPr>
              <w:t>（1）供应商成交后，应按照投标响应提交《施工现场管理人员表》，并向采购人提供人员证书原件核对。若无法在合同签订后 5 日内提供证书或信息不符，采购人有权解除合同并追究违约责任</w:t>
            </w:r>
            <w:r>
              <w:rPr>
                <w:rFonts w:hint="eastAsia" w:ascii="仿宋" w:hAnsi="仿宋" w:eastAsia="仿宋" w:cs="仿宋"/>
                <w:sz w:val="24"/>
                <w:highlight w:val="none"/>
              </w:rPr>
              <w:t>。</w:t>
            </w:r>
          </w:p>
          <w:p w14:paraId="41D1A4D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2</w:t>
            </w:r>
            <w:r>
              <w:rPr>
                <w:rFonts w:hint="eastAsia" w:ascii="仿宋" w:hAnsi="仿宋" w:eastAsia="仿宋" w:cs="仿宋"/>
                <w:sz w:val="24"/>
                <w:highlight w:val="none"/>
                <w:lang w:eastAsia="zh-CN"/>
              </w:rPr>
              <w:t>）项目管理人员没有处于被行政主管部门停标（或停止从业）状态。</w:t>
            </w:r>
          </w:p>
        </w:tc>
      </w:tr>
    </w:tbl>
    <w:p w14:paraId="2DB83AF1">
      <w:pPr>
        <w:pStyle w:val="30"/>
        <w:keepNext w:val="0"/>
        <w:keepLines w:val="0"/>
        <w:pageBreakBefore w:val="0"/>
        <w:widowControl w:val="0"/>
        <w:numPr>
          <w:ilvl w:val="0"/>
          <w:numId w:val="0"/>
        </w:numPr>
        <w:kinsoku/>
        <w:wordWrap/>
        <w:overflowPunct/>
        <w:topLinePunct w:val="0"/>
        <w:autoSpaceDE/>
        <w:autoSpaceDN/>
        <w:bidi w:val="0"/>
        <w:adjustRightInd/>
        <w:snapToGrid/>
        <w:spacing w:before="240" w:after="240" w:line="360" w:lineRule="auto"/>
        <w:jc w:val="left"/>
        <w:textAlignment w:val="auto"/>
        <w:rPr>
          <w:rFonts w:hint="eastAsia" w:ascii="仿宋" w:hAnsi="仿宋" w:eastAsia="仿宋" w:cs="仿宋"/>
          <w:b/>
          <w:sz w:val="28"/>
          <w:highlight w:val="none"/>
          <w:lang w:val="en-US" w:eastAsia="zh-CN"/>
        </w:rPr>
      </w:pPr>
      <w:r>
        <w:rPr>
          <w:rFonts w:hint="eastAsia" w:ascii="仿宋" w:hAnsi="仿宋" w:eastAsia="仿宋" w:cs="仿宋"/>
          <w:b/>
          <w:sz w:val="28"/>
          <w:highlight w:val="none"/>
          <w:lang w:val="en-US" w:eastAsia="zh-CN"/>
        </w:rPr>
        <w:t>9、现场踏勘</w:t>
      </w:r>
    </w:p>
    <w:p w14:paraId="1E0A6AD6">
      <w:pPr>
        <w:pStyle w:val="30"/>
        <w:pageBreakBefore w:val="0"/>
        <w:widowControl w:val="0"/>
        <w:kinsoku/>
        <w:wordWrap/>
        <w:overflowPunct/>
        <w:topLinePunct w:val="0"/>
        <w:bidi w:val="0"/>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lang w:eastAsia="zh-CN"/>
        </w:rPr>
        <w:t>.1本项目</w:t>
      </w:r>
      <w:r>
        <w:rPr>
          <w:rFonts w:hint="eastAsia" w:ascii="仿宋" w:hAnsi="仿宋" w:eastAsia="仿宋" w:cs="仿宋"/>
          <w:sz w:val="24"/>
          <w:szCs w:val="24"/>
          <w:highlight w:val="none"/>
          <w:lang w:val="en-US" w:eastAsia="zh-CN"/>
        </w:rPr>
        <w:t>不</w:t>
      </w:r>
      <w:r>
        <w:rPr>
          <w:rFonts w:hint="eastAsia" w:ascii="仿宋" w:hAnsi="仿宋" w:eastAsia="仿宋" w:cs="仿宋"/>
          <w:sz w:val="24"/>
          <w:szCs w:val="24"/>
          <w:highlight w:val="none"/>
          <w:lang w:eastAsia="zh-CN"/>
        </w:rPr>
        <w:t>组织统一现场踏勘，供应商可自行对项目现场及周围环境进行踏勘，以便获取有关编制磋商文件和签署合同所涉及现场的资料。供应商应自行承担踏勘现场所发生的所有费用。</w:t>
      </w:r>
    </w:p>
    <w:p w14:paraId="55C443ED">
      <w:pPr>
        <w:pStyle w:val="30"/>
        <w:pageBreakBefore w:val="0"/>
        <w:widowControl w:val="0"/>
        <w:kinsoku/>
        <w:wordWrap/>
        <w:overflowPunct/>
        <w:topLinePunct w:val="0"/>
        <w:bidi w:val="0"/>
        <w:spacing w:line="360" w:lineRule="auto"/>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lang w:eastAsia="zh-CN"/>
        </w:rPr>
        <w:t>.2供应商及其人员经过采购人允许，可以踏勘为目的进入项目现场，但供应商及其人员不得因此使采购人及其人员承担有关的责任和蒙受损失。供应商并应对由此次踏勘现场而造成的任何损失、损害</w:t>
      </w:r>
      <w:r>
        <w:rPr>
          <w:rFonts w:hint="eastAsia" w:ascii="仿宋" w:hAnsi="仿宋" w:eastAsia="仿宋" w:cs="仿宋"/>
          <w:b w:val="0"/>
          <w:bCs w:val="0"/>
          <w:sz w:val="24"/>
          <w:szCs w:val="24"/>
          <w:highlight w:val="none"/>
          <w:lang w:eastAsia="zh-CN"/>
        </w:rPr>
        <w:t>和引起的费用和开支承担责任。</w:t>
      </w:r>
    </w:p>
    <w:p w14:paraId="10758127">
      <w:pPr>
        <w:pStyle w:val="30"/>
        <w:pageBreakBefore w:val="0"/>
        <w:widowControl w:val="0"/>
        <w:kinsoku/>
        <w:wordWrap/>
        <w:overflowPunct/>
        <w:topLinePunct w:val="0"/>
        <w:bidi w:val="0"/>
        <w:spacing w:line="360" w:lineRule="auto"/>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9</w:t>
      </w:r>
      <w:r>
        <w:rPr>
          <w:rFonts w:hint="eastAsia" w:ascii="仿宋" w:hAnsi="仿宋" w:eastAsia="仿宋" w:cs="仿宋"/>
          <w:b w:val="0"/>
          <w:bCs w:val="0"/>
          <w:sz w:val="24"/>
          <w:szCs w:val="24"/>
          <w:highlight w:val="none"/>
          <w:lang w:eastAsia="zh-CN"/>
        </w:rPr>
        <w:t>.3采购人向供应商提供的有关现场的资料和数据，是采购人现有的能被供应商利用的资料。采购人对供应商做出的理解、推论和结论均不负责任。</w:t>
      </w:r>
    </w:p>
    <w:p w14:paraId="64DB6B48">
      <w:pPr>
        <w:pStyle w:val="30"/>
        <w:pageBreakBefore w:val="0"/>
        <w:widowControl w:val="0"/>
        <w:kinsoku/>
        <w:wordWrap/>
        <w:overflowPunct/>
        <w:topLinePunct w:val="0"/>
        <w:bidi w:val="0"/>
        <w:spacing w:line="360" w:lineRule="auto"/>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9</w:t>
      </w:r>
      <w:r>
        <w:rPr>
          <w:rFonts w:hint="eastAsia" w:ascii="仿宋" w:hAnsi="仿宋" w:eastAsia="仿宋" w:cs="仿宋"/>
          <w:b w:val="0"/>
          <w:bCs w:val="0"/>
          <w:sz w:val="24"/>
          <w:szCs w:val="24"/>
          <w:highlight w:val="none"/>
          <w:lang w:eastAsia="zh-CN"/>
        </w:rPr>
        <w:t>.4现场踏勘联系人及联系方式：熊刚，13666089286；</w:t>
      </w:r>
    </w:p>
    <w:p w14:paraId="23DC7EAA">
      <w:pPr>
        <w:pStyle w:val="30"/>
        <w:pageBreakBefore w:val="0"/>
        <w:widowControl w:val="0"/>
        <w:kinsoku/>
        <w:wordWrap/>
        <w:overflowPunct/>
        <w:topLinePunct w:val="0"/>
        <w:bidi w:val="0"/>
        <w:spacing w:line="360" w:lineRule="auto"/>
        <w:ind w:firstLine="480" w:firstLineChars="200"/>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9.5踏勘地址：厦门市思明区文园路93号；</w:t>
      </w:r>
    </w:p>
    <w:p w14:paraId="724E4D34">
      <w:pPr>
        <w:pStyle w:val="30"/>
        <w:keepNext w:val="0"/>
        <w:keepLines w:val="0"/>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10、其他要求</w:t>
      </w:r>
    </w:p>
    <w:p w14:paraId="4B71C1EB">
      <w:pPr>
        <w:pStyle w:val="30"/>
        <w:pageBreakBefore w:val="0"/>
        <w:widowControl w:val="0"/>
        <w:kinsoku/>
        <w:wordWrap/>
        <w:overflowPunct/>
        <w:topLinePunct w:val="0"/>
        <w:bidi w:val="0"/>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10.1</w:t>
      </w:r>
      <w:r>
        <w:rPr>
          <w:rFonts w:hint="eastAsia" w:ascii="仿宋" w:hAnsi="仿宋" w:eastAsia="仿宋" w:cs="仿宋"/>
          <w:sz w:val="24"/>
          <w:szCs w:val="24"/>
          <w:highlight w:val="none"/>
          <w:lang w:eastAsia="zh-CN"/>
        </w:rPr>
        <w:t>造价风险：供应商须自行核算合同签订后采购人提出的设计变更费用，该风险已包含在投标报价中，合同签订后不得向采购人收取任何额外费用；因供应商自身设计缺陷提出的设计变更，所有费用由供应商自行承担，且不得延误工期。</w:t>
      </w:r>
    </w:p>
    <w:p w14:paraId="427B3F2E">
      <w:pPr>
        <w:pStyle w:val="30"/>
        <w:pageBreakBefore w:val="0"/>
        <w:widowControl w:val="0"/>
        <w:kinsoku/>
        <w:wordWrap/>
        <w:overflowPunct/>
        <w:topLinePunct w:val="0"/>
        <w:bidi w:val="0"/>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10.2</w:t>
      </w:r>
      <w:r>
        <w:rPr>
          <w:rFonts w:hint="eastAsia" w:ascii="仿宋" w:hAnsi="仿宋" w:eastAsia="仿宋" w:cs="仿宋"/>
          <w:sz w:val="24"/>
          <w:szCs w:val="24"/>
          <w:highlight w:val="none"/>
          <w:lang w:eastAsia="zh-CN"/>
        </w:rPr>
        <w:t>施工费用：工程施工所需所有设施、器械，及施工期间的水、电、照明、看护、围栏、安全保卫等一切费用，均由成交供应商承担。</w:t>
      </w:r>
    </w:p>
    <w:p w14:paraId="3795DA74">
      <w:pPr>
        <w:pStyle w:val="30"/>
        <w:pageBreakBefore w:val="0"/>
        <w:widowControl w:val="0"/>
        <w:kinsoku/>
        <w:wordWrap/>
        <w:overflowPunct/>
        <w:topLinePunct w:val="0"/>
        <w:bidi w:val="0"/>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10.3</w:t>
      </w:r>
      <w:r>
        <w:rPr>
          <w:rFonts w:hint="eastAsia" w:ascii="仿宋" w:hAnsi="仿宋" w:eastAsia="仿宋" w:cs="仿宋"/>
          <w:sz w:val="24"/>
          <w:szCs w:val="24"/>
          <w:highlight w:val="none"/>
          <w:lang w:eastAsia="zh-CN"/>
        </w:rPr>
        <w:t>周边协调：供应商应充分考虑施工干扰，了解当地乡规民俗，自行联系街道办、社区，做好与居民/业主、商户的沟通协调工作，保证施工顺利进行，采购人予以协助配合；相关协调费用包含在总报价中。</w:t>
      </w:r>
    </w:p>
    <w:p w14:paraId="17B5D13F">
      <w:pPr>
        <w:pStyle w:val="30"/>
        <w:pageBreakBefore w:val="0"/>
        <w:widowControl w:val="0"/>
        <w:kinsoku/>
        <w:wordWrap/>
        <w:overflowPunct/>
        <w:topLinePunct w:val="0"/>
        <w:bidi w:val="0"/>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10.4</w:t>
      </w:r>
      <w:r>
        <w:rPr>
          <w:rFonts w:hint="eastAsia" w:ascii="仿宋" w:hAnsi="仿宋" w:eastAsia="仿宋" w:cs="仿宋"/>
          <w:sz w:val="24"/>
          <w:szCs w:val="24"/>
          <w:highlight w:val="none"/>
          <w:lang w:eastAsia="zh-CN"/>
        </w:rPr>
        <w:t>运输与交通：施工组织中须制定交通组织、建筑废土及材料运输管理方案，明确运输距离、安全保障、施工干扰应对措施，建立安全生产责任制并严格执行；相关费用已包干计入工程量清单单价及合同总价，采购人不另行支付。</w:t>
      </w:r>
    </w:p>
    <w:p w14:paraId="2D4CBB56">
      <w:pPr>
        <w:pStyle w:val="30"/>
        <w:pageBreakBefore w:val="0"/>
        <w:widowControl w:val="0"/>
        <w:kinsoku/>
        <w:wordWrap/>
        <w:overflowPunct/>
        <w:topLinePunct w:val="0"/>
        <w:bidi w:val="0"/>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10.5</w:t>
      </w:r>
      <w:r>
        <w:rPr>
          <w:rFonts w:hint="eastAsia" w:ascii="仿宋" w:hAnsi="仿宋" w:eastAsia="仿宋" w:cs="仿宋"/>
          <w:sz w:val="24"/>
          <w:szCs w:val="24"/>
          <w:highlight w:val="none"/>
          <w:lang w:eastAsia="zh-CN"/>
        </w:rPr>
        <w:t>产品权属：供应商提供的设备及材料必须符合国家标准，为全新、优质、合法来源产品，供应商对其拥有合法处置权；因产品所有权、知识产权、担保物权引发的异议、索赔、法律责任及相关费用，均由供应商承担。</w:t>
      </w:r>
    </w:p>
    <w:p w14:paraId="078E5D15">
      <w:pPr>
        <w:pStyle w:val="30"/>
        <w:pageBreakBefore w:val="0"/>
        <w:widowControl w:val="0"/>
        <w:kinsoku/>
        <w:wordWrap/>
        <w:overflowPunct/>
        <w:topLinePunct w:val="0"/>
        <w:bidi w:val="0"/>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10.6</w:t>
      </w:r>
      <w:r>
        <w:rPr>
          <w:rFonts w:hint="eastAsia" w:ascii="仿宋" w:hAnsi="仿宋" w:eastAsia="仿宋" w:cs="仿宋"/>
          <w:sz w:val="24"/>
          <w:szCs w:val="24"/>
          <w:highlight w:val="none"/>
          <w:lang w:eastAsia="zh-CN"/>
        </w:rPr>
        <w:t>工程照管：从工程开工至竣工移交采购人前，供应商对整个工程、施工设备、临时建筑、材料及现场相关物品承担全部照管责任；若发生破坏、丢失或损伤，除不可抗力外，供应商须自费快速修复、弥补。</w:t>
      </w:r>
    </w:p>
    <w:p w14:paraId="3B28BF98">
      <w:pPr>
        <w:pStyle w:val="30"/>
        <w:pageBreakBefore w:val="0"/>
        <w:widowControl w:val="0"/>
        <w:kinsoku/>
        <w:wordWrap/>
        <w:overflowPunct/>
        <w:topLinePunct w:val="0"/>
        <w:bidi w:val="0"/>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10.7</w:t>
      </w:r>
      <w:r>
        <w:rPr>
          <w:rFonts w:hint="eastAsia" w:ascii="仿宋" w:hAnsi="仿宋" w:eastAsia="仿宋" w:cs="仿宋"/>
          <w:sz w:val="24"/>
          <w:szCs w:val="24"/>
          <w:highlight w:val="none"/>
          <w:lang w:eastAsia="zh-CN"/>
        </w:rPr>
        <w:t>特殊施工保障：供应商须在施工组织设计中，针对抗台风、雨季施工安全，及改造施工中的垂直运输、二次搬运等制定专项方案和措施，并在施工中严格执行；相关费用已计入总报价，未按方案施工造成的损失，由供应商自行承担。雨季施工需做好水箱及管网防水防护，避免雨水污染。</w:t>
      </w:r>
    </w:p>
    <w:p w14:paraId="29D142AA">
      <w:pPr>
        <w:pStyle w:val="30"/>
        <w:pageBreakBefore w:val="0"/>
        <w:widowControl w:val="0"/>
        <w:kinsoku/>
        <w:wordWrap/>
        <w:overflowPunct/>
        <w:topLinePunct w:val="0"/>
        <w:bidi w:val="0"/>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10.8施工时间与管控要求</w:t>
      </w:r>
    </w:p>
    <w:p w14:paraId="4A06EB7A">
      <w:pPr>
        <w:pStyle w:val="30"/>
        <w:pageBreakBefore w:val="0"/>
        <w:widowControl w:val="0"/>
        <w:kinsoku/>
        <w:wordWrap/>
        <w:overflowPunct/>
        <w:topLinePunct w:val="0"/>
        <w:bidi w:val="0"/>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（1）本项目施工须严格按规定开展施工作业，施工前须提前3个工作日向采购人提交施工时间计划，经书面确认后方可实施。</w:t>
      </w:r>
    </w:p>
    <w:p w14:paraId="4F20A9D0">
      <w:pPr>
        <w:pStyle w:val="30"/>
        <w:pageBreakBefore w:val="0"/>
        <w:widowControl w:val="0"/>
        <w:kinsoku/>
        <w:wordWrap/>
        <w:overflowPunct/>
        <w:topLinePunct w:val="0"/>
        <w:bidi w:val="0"/>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施工期间必须静音施工、低噪音作业，严禁在教学时段进行噪音大的作业；违规造成投诉的，无条件整改，工期不顺延。严禁施工噪音、强光、扬尘影响，若因施工管控不当造成投诉，供应商须无条件停工整改，整改期间工期不予顺延，由此产生的整改费用及损失由供应商自行承担。</w:t>
      </w:r>
    </w:p>
    <w:p w14:paraId="66E57CB1">
      <w:pPr>
        <w:pStyle w:val="30"/>
        <w:pageBreakBefore w:val="0"/>
        <w:widowControl w:val="0"/>
        <w:kinsoku/>
        <w:wordWrap/>
        <w:overflowPunct/>
        <w:topLinePunct w:val="0"/>
        <w:bidi w:val="0"/>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（3）施工人员及施工车辆进出须严格遵守采购人管理规定，提前报备身份信息及车辆信息，施工材料装卸、建筑垃圾清运均须在本条约定施工时间内完成，严禁在非施工时段占用场地、道路。</w:t>
      </w:r>
    </w:p>
    <w:p w14:paraId="5B79D76D">
      <w:pPr>
        <w:pageBreakBefore w:val="0"/>
        <w:widowControl w:val="0"/>
        <w:kinsoku/>
        <w:wordWrap/>
        <w:overflowPunct/>
        <w:topLinePunct w:val="0"/>
        <w:autoSpaceDE w:val="0"/>
        <w:autoSpaceDN w:val="0"/>
        <w:bidi w:val="0"/>
        <w:adjustRightIn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10.9工期责任约定：项目总工期已充分考虑施工的时间限制，供应商在投标报价及编制施工组织设计时，须自行核算施工效率、合理调配人力物力，确保在约定总工期内完成全部工程（含设计、施工、验收、移交）；成交后不得以“施工时间受限”为由提出工期顺延、造价调整要求，因供应商自身施工计划不合理、人员设备调配不足导致的工期延误，供应商须承担相应违约责任。</w:t>
      </w:r>
    </w:p>
    <w:p w14:paraId="398BE6BB">
      <w:pPr>
        <w:pStyle w:val="30"/>
        <w:keepNext w:val="0"/>
        <w:keepLines w:val="0"/>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11、技术响应要求</w:t>
      </w:r>
    </w:p>
    <w:p w14:paraId="6E4E3908">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11</w:t>
      </w:r>
      <w:r>
        <w:rPr>
          <w:rFonts w:hint="eastAsia" w:ascii="仿宋" w:hAnsi="仿宋" w:eastAsia="仿宋" w:cs="仿宋"/>
          <w:sz w:val="24"/>
          <w:highlight w:val="none"/>
        </w:rPr>
        <w:t>.1供应商在响应文件中应明确报价货物的品牌、制造商、型号、规格、技术参数、数量等信息（涉水设备需注明卫生许可批件编号）。</w:t>
      </w:r>
    </w:p>
    <w:p w14:paraId="4EAD77F0">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11</w:t>
      </w:r>
      <w:r>
        <w:rPr>
          <w:rFonts w:hint="eastAsia" w:ascii="仿宋" w:hAnsi="仿宋" w:eastAsia="仿宋" w:cs="仿宋"/>
          <w:sz w:val="24"/>
          <w:highlight w:val="none"/>
        </w:rPr>
        <w:t>.2供应商提供的货物技术规格、安装标准及技术规范等必须符合国家和行业规定标准、规范要求。本次采购的货物，供应商须保证提供的所有货物必须是未经拆封、原厂正规合格、品质优良的产品、技术资料齐全、满足磋商文件的基本要求。</w:t>
      </w:r>
    </w:p>
    <w:p w14:paraId="2C05F39B">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11</w:t>
      </w:r>
      <w:r>
        <w:rPr>
          <w:rFonts w:hint="eastAsia" w:ascii="仿宋" w:hAnsi="仿宋" w:eastAsia="仿宋" w:cs="仿宋"/>
          <w:sz w:val="24"/>
          <w:highlight w:val="none"/>
        </w:rPr>
        <w:t>.3供应商在响应文件中应根据本章要求及评分条款提供施工组织设计，内容包括但不限于：</w:t>
      </w:r>
    </w:p>
    <w:p w14:paraId="0F7C16AB">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lang w:eastAsia="zh-CN"/>
        </w:rPr>
      </w:pPr>
      <w:r>
        <w:rPr>
          <w:rFonts w:hint="eastAsia" w:ascii="仿宋" w:hAnsi="仿宋" w:eastAsia="仿宋" w:cs="仿宋"/>
          <w:sz w:val="24"/>
          <w:highlight w:val="none"/>
        </w:rPr>
        <w:t>（1）施工方案（含水箱内衬、管网更换、水泵及变频设备安装、消毒系统安装专项方案）；</w:t>
      </w:r>
    </w:p>
    <w:p w14:paraId="1C4FB864">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（2）施工现场平面布置图；</w:t>
      </w:r>
    </w:p>
    <w:p w14:paraId="02046B2F">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lang w:eastAsia="zh-CN"/>
        </w:rPr>
      </w:pPr>
      <w:r>
        <w:rPr>
          <w:rFonts w:hint="eastAsia" w:ascii="仿宋" w:hAnsi="仿宋" w:eastAsia="仿宋" w:cs="仿宋"/>
          <w:sz w:val="24"/>
          <w:highlight w:val="none"/>
        </w:rPr>
        <w:t>（3）施工进度计划和保证措施；</w:t>
      </w:r>
    </w:p>
    <w:p w14:paraId="37BEA6CC">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（4）劳动力及材料供应计划；</w:t>
      </w:r>
    </w:p>
    <w:p w14:paraId="7DD40C04">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（5）施工机械设备的选用；</w:t>
      </w:r>
    </w:p>
    <w:p w14:paraId="07B008ED">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（6）质量保证体系及措施（含二次供水水质保障措施）；</w:t>
      </w:r>
    </w:p>
    <w:p w14:paraId="62421193">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（7）安全生产、文明施工措施；</w:t>
      </w:r>
    </w:p>
    <w:p w14:paraId="6EC68287">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（8）环境保护、成本控制措施。</w:t>
      </w:r>
    </w:p>
    <w:p w14:paraId="6C8CD1BB">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11</w:t>
      </w:r>
      <w:r>
        <w:rPr>
          <w:rFonts w:hint="eastAsia" w:ascii="仿宋" w:hAnsi="仿宋" w:eastAsia="仿宋" w:cs="仿宋"/>
          <w:sz w:val="24"/>
          <w:highlight w:val="none"/>
        </w:rPr>
        <w:t>.4本章的要求为基本要求，评分条款若有对优于本章要求进行加分的，供应商符合要求并提供相应证明材料的可获加分，具体详见评分条款。</w:t>
      </w:r>
    </w:p>
    <w:p w14:paraId="2FCF6EF4">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11</w:t>
      </w:r>
      <w:r>
        <w:rPr>
          <w:rFonts w:hint="eastAsia" w:ascii="仿宋" w:hAnsi="仿宋" w:eastAsia="仿宋" w:cs="仿宋"/>
          <w:sz w:val="24"/>
          <w:highlight w:val="none"/>
        </w:rPr>
        <w:t>.5供应商应根据本章要求和评分条款的要求明确成交后投入本项目</w:t>
      </w:r>
      <w:r>
        <w:rPr>
          <w:rFonts w:hint="eastAsia" w:ascii="仿宋" w:hAnsi="仿宋" w:eastAsia="仿宋" w:cs="仿宋"/>
          <w:b w:val="0"/>
          <w:bCs w:val="0"/>
          <w:sz w:val="24"/>
          <w:highlight w:val="none"/>
        </w:rPr>
        <w:t>的</w:t>
      </w:r>
      <w:r>
        <w:rPr>
          <w:rFonts w:hint="eastAsia" w:ascii="仿宋" w:hAnsi="仿宋" w:eastAsia="仿宋" w:cs="仿宋"/>
          <w:b w:val="0"/>
          <w:bCs w:val="0"/>
          <w:iCs/>
          <w:sz w:val="24"/>
          <w:highlight w:val="none"/>
        </w:rPr>
        <w:t>项目负责人</w:t>
      </w:r>
      <w:r>
        <w:rPr>
          <w:rFonts w:hint="eastAsia" w:ascii="仿宋" w:hAnsi="仿宋" w:eastAsia="仿宋" w:cs="仿宋"/>
          <w:b w:val="0"/>
          <w:bCs w:val="0"/>
          <w:sz w:val="24"/>
          <w:highlight w:val="none"/>
        </w:rPr>
        <w:t>等信</w:t>
      </w:r>
      <w:r>
        <w:rPr>
          <w:rFonts w:hint="eastAsia" w:ascii="仿宋" w:hAnsi="仿宋" w:eastAsia="仿宋" w:cs="仿宋"/>
          <w:sz w:val="24"/>
          <w:highlight w:val="none"/>
        </w:rPr>
        <w:t>息，并提供相应的佐证材料，未按要求提供的将可能导致不得分。</w:t>
      </w:r>
    </w:p>
    <w:p w14:paraId="734D9F26">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11.6本次采购为交钥匙工程，供应商应对所有内容完全响应，不得转包，未经采购人允许不得分包，否则采购人有权终止合同并追究成交供应商的违约责任。</w:t>
      </w:r>
    </w:p>
    <w:p w14:paraId="2B853241">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11</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7</w:t>
      </w:r>
      <w:r>
        <w:rPr>
          <w:rFonts w:hint="eastAsia" w:ascii="仿宋" w:hAnsi="仿宋" w:eastAsia="仿宋" w:cs="仿宋"/>
          <w:sz w:val="24"/>
          <w:highlight w:val="none"/>
        </w:rPr>
        <w:t>供应商提供的采购标的应符合国家知识产权法律、法规的规定且非假冒伪劣品；供应商成交后需保证采购人不受到第三方关于侵犯知识产权及专利权、商标权或工业设计权等知识产权方面的指控，若任何第三方提出此方面指控均与采购人无关，成交供应商应与第三方交涉，并承担可能发生的一切法律责任、费用和后果；若采购人因此而遭致损失，则成交供应商应赔偿该损失。</w:t>
      </w:r>
    </w:p>
    <w:p w14:paraId="1ABFD15E">
      <w:pPr>
        <w:pageBreakBefore w:val="0"/>
        <w:widowControl w:val="0"/>
        <w:kinsoku/>
        <w:wordWrap/>
        <w:overflowPunct/>
        <w:topLinePunct w:val="0"/>
        <w:bidi w:val="0"/>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11</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8</w:t>
      </w:r>
      <w:r>
        <w:rPr>
          <w:rFonts w:hint="eastAsia" w:ascii="仿宋" w:hAnsi="仿宋" w:eastAsia="仿宋" w:cs="仿宋"/>
          <w:sz w:val="24"/>
          <w:highlight w:val="none"/>
        </w:rPr>
        <w:t>供应商应明确其磋商响应与采购需求存在的正负偏离情况。对照磋商文件要求，在《技术和服</w:t>
      </w:r>
      <w:r>
        <w:rPr>
          <w:rFonts w:hint="eastAsia" w:ascii="仿宋" w:hAnsi="仿宋" w:eastAsia="仿宋" w:cs="仿宋"/>
          <w:b w:val="0"/>
          <w:bCs w:val="0"/>
          <w:sz w:val="24"/>
          <w:highlight w:val="none"/>
        </w:rPr>
        <w:t>务要求响应表》中逐条说明对采购需求的响应情况。供应商若未对采购需求进行逐条响应，将可能</w:t>
      </w:r>
      <w:r>
        <w:rPr>
          <w:rFonts w:hint="eastAsia" w:ascii="仿宋" w:hAnsi="仿宋" w:eastAsia="仿宋" w:cs="仿宋"/>
          <w:sz w:val="24"/>
          <w:highlight w:val="none"/>
        </w:rPr>
        <w:t>导致不利的评审后果。</w:t>
      </w:r>
    </w:p>
    <w:p w14:paraId="539BAC89">
      <w:pPr>
        <w:pStyle w:val="15"/>
        <w:pageBreakBefore w:val="0"/>
        <w:widowControl w:val="0"/>
        <w:kinsoku/>
        <w:wordWrap/>
        <w:overflowPunct/>
        <w:topLinePunct w:val="0"/>
        <w:autoSpaceDE/>
        <w:autoSpaceDN/>
        <w:bidi w:val="0"/>
        <w:adjustRightInd/>
        <w:snapToGrid/>
        <w:spacing w:before="75" w:beforeAutospacing="0" w:after="75" w:afterAutospacing="0" w:line="360" w:lineRule="auto"/>
        <w:textAlignment w:val="auto"/>
        <w:outlineLvl w:val="1"/>
        <w:rPr>
          <w:rFonts w:hint="eastAsia" w:ascii="仿宋" w:hAnsi="仿宋" w:eastAsia="仿宋" w:cs="仿宋"/>
          <w:b/>
          <w:bCs/>
          <w:sz w:val="28"/>
          <w:szCs w:val="32"/>
          <w:highlight w:val="none"/>
        </w:rPr>
      </w:pPr>
      <w:r>
        <w:rPr>
          <w:rFonts w:hint="eastAsia" w:ascii="仿宋" w:hAnsi="仿宋" w:eastAsia="仿宋" w:cs="仿宋"/>
          <w:b/>
          <w:bCs/>
          <w:sz w:val="28"/>
          <w:szCs w:val="32"/>
          <w:highlight w:val="none"/>
        </w:rPr>
        <w:t>三、商务条件</w:t>
      </w:r>
      <w:bookmarkEnd w:id="23"/>
    </w:p>
    <w:p w14:paraId="160569C7">
      <w:pPr>
        <w:pStyle w:val="30"/>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采购包1：</w:t>
      </w:r>
    </w:p>
    <w:tbl>
      <w:tblPr>
        <w:tblStyle w:val="18"/>
        <w:tblW w:w="0" w:type="auto"/>
        <w:tblInd w:w="79"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61"/>
        <w:gridCol w:w="2476"/>
        <w:gridCol w:w="6335"/>
      </w:tblGrid>
      <w:tr w14:paraId="38F737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1" w:type="dxa"/>
          </w:tcPr>
          <w:p w14:paraId="3627130B">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476" w:type="dxa"/>
          </w:tcPr>
          <w:p w14:paraId="1ECCE5E1">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类型</w:t>
            </w:r>
          </w:p>
        </w:tc>
        <w:tc>
          <w:tcPr>
            <w:tcW w:w="6335" w:type="dxa"/>
          </w:tcPr>
          <w:p w14:paraId="0E90BDFE">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要求</w:t>
            </w:r>
          </w:p>
        </w:tc>
      </w:tr>
      <w:tr w14:paraId="1E33F8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1" w:type="dxa"/>
          </w:tcPr>
          <w:p w14:paraId="7CA9A985">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2476" w:type="dxa"/>
            <w:shd w:val="clear" w:color="auto" w:fill="auto"/>
            <w:vAlign w:val="center"/>
          </w:tcPr>
          <w:p w14:paraId="5B509E76">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工期</w:t>
            </w:r>
          </w:p>
        </w:tc>
        <w:tc>
          <w:tcPr>
            <w:tcW w:w="6335" w:type="dxa"/>
          </w:tcPr>
          <w:p w14:paraId="5D2556A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left"/>
              <w:rPr>
                <w:rFonts w:hint="eastAsia" w:ascii="仿宋" w:hAnsi="仿宋" w:eastAsia="仿宋" w:cs="仿宋"/>
                <w:sz w:val="24"/>
                <w:szCs w:val="24"/>
                <w:highlight w:val="none"/>
              </w:rPr>
            </w:pPr>
            <w:r>
              <w:rPr>
                <w:rFonts w:hint="eastAsia" w:ascii="仿宋" w:hAnsi="仿宋" w:eastAsia="仿宋" w:cs="宋体"/>
                <w:kern w:val="0"/>
                <w:sz w:val="24"/>
                <w:szCs w:val="24"/>
                <w:highlight w:val="none"/>
              </w:rPr>
              <w:t>总工期</w:t>
            </w:r>
            <w:r>
              <w:rPr>
                <w:rFonts w:hint="eastAsia" w:ascii="仿宋" w:hAnsi="仿宋" w:eastAsia="仿宋" w:cs="宋体"/>
                <w:kern w:val="0"/>
                <w:sz w:val="24"/>
                <w:szCs w:val="24"/>
                <w:highlight w:val="none"/>
                <w:lang w:eastAsia="zh-CN"/>
              </w:rPr>
              <w:t>：</w:t>
            </w:r>
            <w:r>
              <w:rPr>
                <w:rFonts w:hint="eastAsia" w:ascii="仿宋" w:hAnsi="仿宋" w:eastAsia="仿宋" w:cs="宋体"/>
                <w:kern w:val="0"/>
                <w:sz w:val="24"/>
                <w:szCs w:val="24"/>
                <w:highlight w:val="none"/>
              </w:rPr>
              <w:t>合同签订后，45个日历日内完成</w:t>
            </w:r>
            <w:r>
              <w:rPr>
                <w:rFonts w:hint="eastAsia" w:ascii="仿宋" w:hAnsi="仿宋" w:eastAsia="仿宋" w:cs="宋体"/>
                <w:kern w:val="0"/>
                <w:sz w:val="24"/>
                <w:szCs w:val="24"/>
                <w:highlight w:val="none"/>
                <w:lang w:val="en-US" w:eastAsia="zh-CN"/>
              </w:rPr>
              <w:t>施工、验收合格交付使用</w:t>
            </w:r>
            <w:r>
              <w:rPr>
                <w:rFonts w:hint="eastAsia" w:ascii="仿宋" w:hAnsi="仿宋" w:eastAsia="仿宋" w:cs="宋体"/>
                <w:kern w:val="0"/>
                <w:sz w:val="24"/>
                <w:szCs w:val="24"/>
                <w:highlight w:val="none"/>
                <w:lang w:eastAsia="zh-CN"/>
              </w:rPr>
              <w:t>（</w:t>
            </w:r>
            <w:r>
              <w:rPr>
                <w:rFonts w:hint="eastAsia" w:ascii="仿宋" w:hAnsi="仿宋" w:eastAsia="仿宋" w:cs="宋体"/>
                <w:kern w:val="0"/>
                <w:sz w:val="24"/>
                <w:szCs w:val="24"/>
                <w:highlight w:val="none"/>
                <w:lang w:val="en-US" w:eastAsia="zh-CN"/>
              </w:rPr>
              <w:t>施工</w:t>
            </w:r>
            <w:r>
              <w:rPr>
                <w:rFonts w:hint="eastAsia" w:ascii="仿宋" w:hAnsi="仿宋" w:eastAsia="仿宋" w:cs="宋体"/>
                <w:kern w:val="0"/>
                <w:sz w:val="24"/>
                <w:szCs w:val="24"/>
                <w:highlight w:val="none"/>
              </w:rPr>
              <w:t>开工日期以采购人通知为准</w:t>
            </w:r>
            <w:r>
              <w:rPr>
                <w:rFonts w:hint="eastAsia" w:ascii="仿宋" w:hAnsi="仿宋" w:eastAsia="仿宋" w:cs="宋体"/>
                <w:kern w:val="0"/>
                <w:sz w:val="24"/>
                <w:szCs w:val="24"/>
                <w:highlight w:val="none"/>
                <w:lang w:eastAsia="zh-CN"/>
              </w:rPr>
              <w:t>）。</w:t>
            </w:r>
          </w:p>
        </w:tc>
      </w:tr>
      <w:tr w14:paraId="15877C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1" w:type="dxa"/>
          </w:tcPr>
          <w:p w14:paraId="1C1AF4DD">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2476" w:type="dxa"/>
            <w:shd w:val="clear" w:color="auto" w:fill="auto"/>
            <w:vAlign w:val="center"/>
          </w:tcPr>
          <w:p w14:paraId="20B8C05B">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施工地点</w:t>
            </w:r>
          </w:p>
        </w:tc>
        <w:tc>
          <w:tcPr>
            <w:tcW w:w="6335" w:type="dxa"/>
          </w:tcPr>
          <w:p w14:paraId="367297BD">
            <w:pPr>
              <w:pStyle w:val="3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宋体"/>
                <w:kern w:val="0"/>
                <w:sz w:val="24"/>
                <w:szCs w:val="24"/>
                <w:highlight w:val="none"/>
                <w:lang w:val="en-US" w:eastAsia="zh-CN"/>
              </w:rPr>
              <w:t>厦门市行政区域内采购人指定地点</w:t>
            </w:r>
          </w:p>
        </w:tc>
      </w:tr>
      <w:tr w14:paraId="6F0827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1" w:type="dxa"/>
            <w:vAlign w:val="center"/>
          </w:tcPr>
          <w:p w14:paraId="6498AA8A">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2476" w:type="dxa"/>
            <w:shd w:val="clear" w:color="auto" w:fill="auto"/>
            <w:vAlign w:val="center"/>
          </w:tcPr>
          <w:p w14:paraId="63F20BA0">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lang w:val="en-US" w:eastAsia="zh-Hans"/>
              </w:rPr>
            </w:pPr>
            <w:r>
              <w:rPr>
                <w:rFonts w:hint="eastAsia" w:ascii="仿宋" w:hAnsi="仿宋" w:eastAsia="仿宋" w:cs="仿宋"/>
                <w:sz w:val="24"/>
                <w:szCs w:val="24"/>
                <w:highlight w:val="none"/>
                <w:lang w:val="en-US" w:eastAsia="zh-CN"/>
              </w:rPr>
              <w:t>验收</w:t>
            </w:r>
            <w:r>
              <w:rPr>
                <w:rFonts w:hint="eastAsia" w:ascii="仿宋" w:hAnsi="仿宋" w:eastAsia="仿宋" w:cs="仿宋"/>
                <w:sz w:val="24"/>
                <w:szCs w:val="24"/>
                <w:highlight w:val="none"/>
              </w:rPr>
              <w:t>条件</w:t>
            </w:r>
          </w:p>
        </w:tc>
        <w:tc>
          <w:tcPr>
            <w:tcW w:w="6335" w:type="dxa"/>
          </w:tcPr>
          <w:p w14:paraId="0CC4FE6B">
            <w:pPr>
              <w:pStyle w:val="3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改造工程验收合格，完成工程量清单内所有工作内容，竣工资料移交完整，施工场地恢复至原有状态，水质检测合格。</w:t>
            </w:r>
          </w:p>
        </w:tc>
      </w:tr>
      <w:tr w14:paraId="35B308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1" w:type="dxa"/>
            <w:vAlign w:val="center"/>
          </w:tcPr>
          <w:p w14:paraId="0F138FB0">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w:t>
            </w:r>
          </w:p>
        </w:tc>
        <w:tc>
          <w:tcPr>
            <w:tcW w:w="2476" w:type="dxa"/>
            <w:vAlign w:val="center"/>
          </w:tcPr>
          <w:p w14:paraId="4A39EB5C">
            <w:pPr>
              <w:pStyle w:val="3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合同支付方式</w:t>
            </w:r>
          </w:p>
        </w:tc>
        <w:tc>
          <w:tcPr>
            <w:tcW w:w="6335" w:type="dxa"/>
          </w:tcPr>
          <w:p w14:paraId="458531AB">
            <w:pPr>
              <w:pStyle w:val="3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本项目工程款按以下阶段分期支付，付款前提为供应商提供合法有效的增值税发票、对应付款佐证材料及采购人指定第三方专业审核机构出具的相关审核报告：​</w:t>
            </w:r>
          </w:p>
          <w:p w14:paraId="1775FD8B">
            <w:pPr>
              <w:pStyle w:val="3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第一阶段：材料设备进场验收合格付款</w:t>
            </w:r>
          </w:p>
          <w:p w14:paraId="2577AF25">
            <w:pPr>
              <w:pStyle w:val="3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核心材料设备（含 PVC-U给水管材、恒压变频供水设备、变频控制柜等）全部进场，供应商提交合格的合格证、检测报告；经采购人现场核实、第三方审核机构出具进场核实报告；供应商提供对应金额增值税发票后，采购人</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工作日内支付成交总价的</w:t>
            </w:r>
            <w:r>
              <w:rPr>
                <w:rFonts w:hint="eastAsia" w:ascii="仿宋" w:hAnsi="仿宋" w:eastAsia="仿宋" w:cs="仿宋"/>
                <w:sz w:val="24"/>
                <w:szCs w:val="24"/>
                <w:highlight w:val="none"/>
                <w:lang w:val="en-US" w:eastAsia="zh-CN"/>
              </w:rPr>
              <w:t>50</w:t>
            </w:r>
            <w:r>
              <w:rPr>
                <w:rFonts w:hint="eastAsia" w:ascii="仿宋" w:hAnsi="仿宋" w:eastAsia="仿宋" w:cs="仿宋"/>
                <w:sz w:val="24"/>
                <w:szCs w:val="24"/>
                <w:highlight w:val="none"/>
              </w:rPr>
              <w:t>%。​</w:t>
            </w:r>
          </w:p>
          <w:p w14:paraId="71A252B4">
            <w:pPr>
              <w:pStyle w:val="3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第</w:t>
            </w:r>
            <w:r>
              <w:rPr>
                <w:rFonts w:hint="eastAsia" w:ascii="仿宋" w:hAnsi="仿宋" w:eastAsia="仿宋" w:cs="仿宋"/>
                <w:sz w:val="24"/>
                <w:szCs w:val="24"/>
                <w:highlight w:val="none"/>
                <w:lang w:val="en-US" w:eastAsia="zh-CN"/>
              </w:rPr>
              <w:t>二</w:t>
            </w:r>
            <w:r>
              <w:rPr>
                <w:rFonts w:hint="eastAsia" w:ascii="仿宋" w:hAnsi="仿宋" w:eastAsia="仿宋" w:cs="仿宋"/>
                <w:sz w:val="24"/>
                <w:szCs w:val="24"/>
                <w:highlight w:val="none"/>
              </w:rPr>
              <w:t>阶段：竣工验收合格付款​</w:t>
            </w:r>
          </w:p>
          <w:p w14:paraId="238DCEEC">
            <w:pPr>
              <w:pStyle w:val="30"/>
              <w:pageBreakBefore w:val="0"/>
              <w:widowControl w:val="0"/>
              <w:kinsoku/>
              <w:wordWrap/>
              <w:overflowPunct/>
              <w:topLinePunct w:val="0"/>
              <w:autoSpaceDE/>
              <w:autoSpaceDN/>
              <w:bidi w:val="0"/>
              <w:adjustRightInd/>
              <w:snapToGrid/>
              <w:spacing w:line="360" w:lineRule="auto"/>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工程全部完工，清单及书面变更内容全部完成；工程竣工验收合格、竣工资料移交完毕、施工场地恢复原状、水质检测合格；第三方审核机构出具最终结算审核报告（结算金额不超过成交总价）；供应商提供结算价款全额增值税发票后，采购人</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个工作日内支付至结算价款的</w:t>
            </w:r>
            <w:r>
              <w:rPr>
                <w:rFonts w:hint="eastAsia" w:ascii="仿宋" w:hAnsi="仿宋" w:eastAsia="仿宋" w:cs="仿宋"/>
                <w:sz w:val="24"/>
                <w:szCs w:val="24"/>
                <w:highlight w:val="none"/>
                <w:lang w:val="en-US" w:eastAsia="zh-CN"/>
              </w:rPr>
              <w:t>100</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同时，供应商需在竣工验收合格后3个工作日内缴交结算总金额3%的项目质保金，质保金为</w:t>
            </w:r>
            <w:r>
              <w:rPr>
                <w:rFonts w:hint="eastAsia" w:ascii="仿宋" w:hAnsi="仿宋" w:eastAsia="仿宋" w:cs="仿宋"/>
                <w:bCs/>
                <w:kern w:val="2"/>
                <w:sz w:val="24"/>
                <w:szCs w:val="24"/>
                <w:highlight w:val="none"/>
                <w:lang w:val="en-US" w:eastAsia="zh-CN"/>
              </w:rPr>
              <w:t>不可撤销质保保函（有效期24个月，自工程竣工验收合格之日起算）</w:t>
            </w:r>
            <w:r>
              <w:rPr>
                <w:rFonts w:hint="eastAsia" w:ascii="仿宋" w:hAnsi="仿宋" w:eastAsia="仿宋" w:cs="仿宋"/>
                <w:bCs/>
                <w:kern w:val="2"/>
                <w:sz w:val="24"/>
                <w:szCs w:val="24"/>
                <w:highlight w:val="none"/>
                <w:lang w:eastAsia="zh-CN"/>
              </w:rPr>
              <w:t>。</w:t>
            </w:r>
            <w:r>
              <w:rPr>
                <w:rFonts w:hint="default" w:ascii="仿宋" w:hAnsi="仿宋" w:eastAsia="仿宋" w:cs="仿宋"/>
                <w:sz w:val="24"/>
                <w:szCs w:val="24"/>
                <w:highlight w:val="none"/>
                <w:lang w:val="en-US" w:eastAsia="zh-CN"/>
              </w:rPr>
              <w:t>缺陷责任期24个月届满且</w:t>
            </w:r>
            <w:r>
              <w:rPr>
                <w:rFonts w:hint="eastAsia" w:ascii="仿宋" w:hAnsi="仿宋" w:eastAsia="仿宋" w:cs="仿宋"/>
                <w:sz w:val="24"/>
                <w:szCs w:val="24"/>
                <w:highlight w:val="none"/>
                <w:lang w:val="en-US" w:eastAsia="zh-CN"/>
              </w:rPr>
              <w:t>成交</w:t>
            </w:r>
            <w:r>
              <w:rPr>
                <w:rFonts w:hint="default" w:ascii="仿宋" w:hAnsi="仿宋" w:eastAsia="仿宋" w:cs="仿宋"/>
                <w:sz w:val="24"/>
                <w:szCs w:val="24"/>
                <w:highlight w:val="none"/>
                <w:lang w:val="en-US" w:eastAsia="zh-CN"/>
              </w:rPr>
              <w:t>供应商全面履行完保修义务后，采购人无息返还质保金；若供应商未履行保修义务，采购人有权从质保金中扣除相应费用</w:t>
            </w:r>
            <w:r>
              <w:rPr>
                <w:rFonts w:hint="eastAsia" w:ascii="仿宋" w:hAnsi="仿宋" w:eastAsia="仿宋" w:cs="仿宋"/>
                <w:sz w:val="24"/>
                <w:szCs w:val="24"/>
                <w:highlight w:val="none"/>
                <w:lang w:val="en-US" w:eastAsia="zh-CN"/>
              </w:rPr>
              <w:t>。</w:t>
            </w:r>
          </w:p>
          <w:p w14:paraId="2AED4616">
            <w:pPr>
              <w:pStyle w:val="3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注：​</w:t>
            </w:r>
          </w:p>
          <w:p w14:paraId="3C79736D">
            <w:pPr>
              <w:pStyle w:val="3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第三方审核机构由采购人指定，审核费用由成交供应商承担；​</w:t>
            </w:r>
          </w:p>
          <w:p w14:paraId="303DF765">
            <w:pPr>
              <w:pStyle w:val="3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未按要求提交资料、施工缺项、检测不合格或审核未通过的，采购人有权顺延付款，</w:t>
            </w:r>
            <w:bookmarkStart w:id="39" w:name="_GoBack"/>
            <w:bookmarkEnd w:id="39"/>
            <w:r>
              <w:rPr>
                <w:rFonts w:hint="eastAsia" w:ascii="仿宋" w:hAnsi="仿宋" w:eastAsia="仿宋" w:cs="仿宋"/>
                <w:sz w:val="24"/>
                <w:szCs w:val="24"/>
                <w:highlight w:val="none"/>
              </w:rPr>
              <w:t>不承担违约责任；​</w:t>
            </w:r>
          </w:p>
          <w:p w14:paraId="5CCF0E0A">
            <w:pPr>
              <w:pStyle w:val="3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付款总额以第三方最终结算审核报告为准，不超过成交总价；除采购人书面变更外，不支付额外费用。</w:t>
            </w:r>
          </w:p>
        </w:tc>
      </w:tr>
      <w:tr w14:paraId="7C8BA3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1" w:type="dxa"/>
            <w:vAlign w:val="center"/>
          </w:tcPr>
          <w:p w14:paraId="0364E3C3">
            <w:pPr>
              <w:pStyle w:val="3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2476" w:type="dxa"/>
            <w:vAlign w:val="center"/>
          </w:tcPr>
          <w:p w14:paraId="21064C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仿宋" w:hAnsi="仿宋" w:eastAsia="仿宋" w:cs="仿宋"/>
                <w:bCs/>
                <w:kern w:val="0"/>
                <w:sz w:val="24"/>
                <w:szCs w:val="24"/>
                <w:highlight w:val="none"/>
                <w:lang w:val="en-US" w:eastAsia="zh-CN" w:bidi="ar-SA"/>
              </w:rPr>
            </w:pPr>
            <w:r>
              <w:rPr>
                <w:rFonts w:hint="eastAsia" w:ascii="仿宋" w:hAnsi="仿宋" w:eastAsia="仿宋" w:cs="仿宋"/>
                <w:sz w:val="24"/>
                <w:szCs w:val="24"/>
                <w:highlight w:val="none"/>
              </w:rPr>
              <w:t>履约保证金</w:t>
            </w:r>
          </w:p>
        </w:tc>
        <w:tc>
          <w:tcPr>
            <w:tcW w:w="6335" w:type="dxa"/>
            <w:vAlign w:val="top"/>
          </w:tcPr>
          <w:p w14:paraId="79A92F96">
            <w:pPr>
              <w:pStyle w:val="30"/>
              <w:keepNext w:val="0"/>
              <w:keepLines w:val="0"/>
              <w:widowControl/>
              <w:suppressLineNumbers w:val="0"/>
              <w:spacing w:before="0" w:beforeAutospacing="0" w:after="0" w:afterAutospacing="0" w:line="360" w:lineRule="auto"/>
              <w:ind w:left="0" w:right="0" w:firstLine="0" w:firstLineChars="0"/>
              <w:rPr>
                <w:rFonts w:hint="eastAsia" w:ascii="仿宋" w:hAnsi="仿宋" w:eastAsia="仿宋" w:cs="仿宋"/>
                <w:bCs/>
                <w:kern w:val="0"/>
                <w:sz w:val="24"/>
                <w:szCs w:val="24"/>
                <w:highlight w:val="none"/>
                <w:lang w:val="en-US" w:eastAsia="zh-CN" w:bidi="ar-SA"/>
              </w:rPr>
            </w:pPr>
            <w:r>
              <w:rPr>
                <w:rFonts w:hint="eastAsia" w:ascii="仿宋" w:hAnsi="仿宋" w:eastAsia="仿宋" w:cs="仿宋"/>
                <w:bCs/>
                <w:kern w:val="2"/>
                <w:sz w:val="24"/>
                <w:szCs w:val="24"/>
                <w:highlight w:val="none"/>
              </w:rPr>
              <w:t>采购包1：</w:t>
            </w:r>
            <w:r>
              <w:rPr>
                <w:rFonts w:hint="eastAsia" w:ascii="仿宋" w:hAnsi="仿宋" w:eastAsia="仿宋" w:cs="仿宋"/>
                <w:bCs/>
                <w:kern w:val="2"/>
                <w:sz w:val="24"/>
                <w:szCs w:val="24"/>
                <w:highlight w:val="none"/>
                <w:lang w:val="en-US" w:eastAsia="zh-CN"/>
              </w:rPr>
              <w:t>不缴纳</w:t>
            </w:r>
          </w:p>
        </w:tc>
      </w:tr>
    </w:tbl>
    <w:p w14:paraId="218E5010">
      <w:pPr>
        <w:pStyle w:val="24"/>
        <w:numPr>
          <w:ilvl w:val="0"/>
          <w:numId w:val="0"/>
        </w:numPr>
        <w:spacing w:line="360" w:lineRule="auto"/>
        <w:ind w:left="0" w:leftChars="0" w:firstLine="0" w:firstLineChars="0"/>
        <w:rPr>
          <w:rFonts w:hint="eastAsia" w:ascii="仿宋" w:hAnsi="仿宋" w:eastAsia="仿宋" w:cs="仿宋"/>
          <w:b/>
          <w:bCs/>
          <w:kern w:val="0"/>
          <w:sz w:val="28"/>
          <w:szCs w:val="28"/>
          <w:highlight w:val="none"/>
          <w:lang w:val="en-US" w:eastAsia="zh-CN" w:bidi="ar-SA"/>
        </w:rPr>
      </w:pPr>
      <w:r>
        <w:rPr>
          <w:rFonts w:hint="eastAsia" w:ascii="仿宋" w:hAnsi="仿宋" w:eastAsia="仿宋" w:cs="仿宋"/>
          <w:b/>
          <w:bCs/>
          <w:kern w:val="0"/>
          <w:sz w:val="28"/>
          <w:szCs w:val="28"/>
          <w:highlight w:val="none"/>
          <w:lang w:val="en-US" w:eastAsia="zh-CN" w:bidi="ar-SA"/>
        </w:rPr>
        <w:t>1、商务响应要求</w:t>
      </w:r>
    </w:p>
    <w:p w14:paraId="21F3D9C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ascii="仿宋" w:hAnsi="仿宋" w:eastAsia="仿宋" w:cs="宋体"/>
          <w:b w:val="0"/>
          <w:bCs w:val="0"/>
          <w:kern w:val="0"/>
          <w:sz w:val="24"/>
          <w:szCs w:val="24"/>
          <w:highlight w:val="none"/>
          <w:lang w:eastAsia="zh-CN"/>
        </w:rPr>
      </w:pPr>
      <w:r>
        <w:rPr>
          <w:rFonts w:hint="eastAsia" w:ascii="仿宋" w:hAnsi="仿宋" w:eastAsia="仿宋" w:cs="宋体"/>
          <w:b w:val="0"/>
          <w:bCs w:val="0"/>
          <w:kern w:val="0"/>
          <w:sz w:val="24"/>
          <w:szCs w:val="24"/>
          <w:highlight w:val="none"/>
          <w:lang w:val="en-US" w:eastAsia="zh-CN"/>
        </w:rPr>
        <w:t>供应商</w:t>
      </w:r>
      <w:r>
        <w:rPr>
          <w:rFonts w:hint="default" w:ascii="仿宋" w:hAnsi="仿宋" w:eastAsia="仿宋" w:cs="宋体"/>
          <w:b w:val="0"/>
          <w:bCs w:val="0"/>
          <w:kern w:val="0"/>
          <w:sz w:val="24"/>
          <w:szCs w:val="24"/>
          <w:highlight w:val="none"/>
          <w:lang w:eastAsia="zh-CN"/>
        </w:rPr>
        <w:t>应根据商务条件要求及商务项评分条款提供相应的认证等证书、业绩经验、</w:t>
      </w:r>
      <w:r>
        <w:rPr>
          <w:rFonts w:hint="default" w:ascii="仿宋" w:hAnsi="仿宋" w:eastAsia="仿宋" w:cs="宋体"/>
          <w:b w:val="0"/>
          <w:bCs w:val="0"/>
          <w:kern w:val="0"/>
          <w:sz w:val="24"/>
          <w:szCs w:val="24"/>
          <w:highlight w:val="none"/>
          <w:lang w:val="en-US" w:eastAsia="zh-CN"/>
        </w:rPr>
        <w:t>奖项证明以及承诺</w:t>
      </w:r>
      <w:r>
        <w:rPr>
          <w:rFonts w:hint="default" w:ascii="仿宋" w:hAnsi="仿宋" w:eastAsia="仿宋" w:cs="宋体"/>
          <w:b w:val="0"/>
          <w:bCs w:val="0"/>
          <w:kern w:val="0"/>
          <w:sz w:val="24"/>
          <w:szCs w:val="24"/>
          <w:highlight w:val="none"/>
          <w:lang w:eastAsia="zh-CN"/>
        </w:rPr>
        <w:t>，并按要求提供相应的佐证材料，未按要求提供的将可能导致不得分。</w:t>
      </w:r>
    </w:p>
    <w:p w14:paraId="5A6F7F0B">
      <w:pPr>
        <w:pStyle w:val="24"/>
        <w:numPr>
          <w:ilvl w:val="0"/>
          <w:numId w:val="0"/>
        </w:numPr>
        <w:spacing w:line="360" w:lineRule="auto"/>
        <w:ind w:left="0" w:leftChars="0" w:firstLine="0" w:firstLineChars="0"/>
        <w:rPr>
          <w:rFonts w:hint="eastAsia" w:ascii="仿宋" w:hAnsi="仿宋" w:eastAsia="仿宋" w:cs="仿宋"/>
          <w:b/>
          <w:bCs/>
          <w:kern w:val="0"/>
          <w:sz w:val="28"/>
          <w:szCs w:val="28"/>
          <w:highlight w:val="none"/>
          <w:lang w:val="en-US" w:eastAsia="zh-CN" w:bidi="ar-SA"/>
        </w:rPr>
      </w:pPr>
      <w:r>
        <w:rPr>
          <w:rFonts w:hint="eastAsia" w:ascii="仿宋" w:hAnsi="仿宋" w:eastAsia="仿宋" w:cs="仿宋"/>
          <w:b/>
          <w:bCs/>
          <w:kern w:val="0"/>
          <w:sz w:val="28"/>
          <w:szCs w:val="28"/>
          <w:highlight w:val="none"/>
          <w:lang w:val="en-US" w:eastAsia="zh-CN" w:bidi="ar-SA"/>
        </w:rPr>
        <w:t>2、报价要求</w:t>
      </w:r>
    </w:p>
    <w:p w14:paraId="6E240B8E">
      <w:pPr>
        <w:pStyle w:val="24"/>
        <w:spacing w:line="360" w:lineRule="auto"/>
        <w:rPr>
          <w:rFonts w:hint="eastAsia" w:ascii="仿宋" w:hAnsi="仿宋" w:eastAsia="仿宋" w:cs="仿宋"/>
          <w:bCs/>
          <w:sz w:val="24"/>
          <w:szCs w:val="24"/>
          <w:highlight w:val="none"/>
          <w:lang w:val="en-US" w:eastAsia="zh-Hans"/>
        </w:rPr>
      </w:pPr>
      <w:r>
        <w:rPr>
          <w:rFonts w:hint="eastAsia" w:ascii="仿宋" w:hAnsi="仿宋" w:eastAsia="仿宋" w:cs="仿宋"/>
          <w:bCs/>
          <w:sz w:val="24"/>
          <w:szCs w:val="24"/>
          <w:highlight w:val="none"/>
          <w:lang w:val="en-US" w:eastAsia="zh-CN"/>
        </w:rPr>
        <w:t>2</w:t>
      </w:r>
      <w:r>
        <w:rPr>
          <w:rFonts w:hint="eastAsia" w:ascii="仿宋" w:hAnsi="仿宋" w:eastAsia="仿宋" w:cs="仿宋"/>
          <w:bCs/>
          <w:sz w:val="24"/>
          <w:szCs w:val="24"/>
          <w:highlight w:val="none"/>
          <w:lang w:val="en-US" w:eastAsia="zh-Hans"/>
        </w:rPr>
        <w:t>.1本项目为一个合同包整体采购，供应商必须对二次供水系统改造的所有设计、施工、材料、配套服务内容进行完整报价响应。结合采购人提供的改造施工</w:t>
      </w:r>
      <w:r>
        <w:rPr>
          <w:rFonts w:hint="eastAsia" w:ascii="仿宋" w:hAnsi="仿宋" w:eastAsia="仿宋" w:cs="仿宋"/>
          <w:bCs/>
          <w:sz w:val="24"/>
          <w:szCs w:val="24"/>
          <w:highlight w:val="none"/>
          <w:lang w:val="en-US" w:eastAsia="zh-CN"/>
        </w:rPr>
        <w:t>要求</w:t>
      </w:r>
      <w:r>
        <w:rPr>
          <w:rFonts w:hint="eastAsia" w:ascii="仿宋" w:hAnsi="仿宋" w:eastAsia="仿宋" w:cs="仿宋"/>
          <w:bCs/>
          <w:sz w:val="24"/>
          <w:szCs w:val="24"/>
          <w:highlight w:val="none"/>
          <w:lang w:val="en-US" w:eastAsia="zh-Hans"/>
        </w:rPr>
        <w:t>、现场踏勘结果及项目实际需求编制投标总报价</w:t>
      </w:r>
      <w:r>
        <w:rPr>
          <w:rFonts w:hint="eastAsia" w:ascii="仿宋" w:hAnsi="仿宋" w:eastAsia="仿宋" w:cs="仿宋"/>
          <w:bCs/>
          <w:sz w:val="24"/>
          <w:szCs w:val="24"/>
          <w:highlight w:val="none"/>
          <w:lang w:val="en-US" w:eastAsia="zh-CN"/>
        </w:rPr>
        <w:t>。</w:t>
      </w:r>
      <w:r>
        <w:rPr>
          <w:rFonts w:hint="eastAsia" w:ascii="仿宋" w:hAnsi="仿宋" w:eastAsia="仿宋" w:cs="仿宋"/>
          <w:bCs/>
          <w:sz w:val="24"/>
          <w:szCs w:val="24"/>
          <w:highlight w:val="none"/>
          <w:lang w:val="en-US" w:eastAsia="zh-Hans"/>
        </w:rPr>
        <w:t>投标阶段无需提供详细施工分项报价，设计费为总报价组成部分，不得单独拆分收取</w:t>
      </w:r>
      <w:r>
        <w:rPr>
          <w:rFonts w:hint="eastAsia" w:ascii="仿宋" w:hAnsi="仿宋" w:eastAsia="仿宋" w:cs="仿宋"/>
          <w:bCs/>
          <w:sz w:val="24"/>
          <w:szCs w:val="24"/>
          <w:highlight w:val="none"/>
          <w:lang w:val="en-US" w:eastAsia="zh-CN"/>
        </w:rPr>
        <w:t>，</w:t>
      </w:r>
      <w:r>
        <w:rPr>
          <w:rFonts w:hint="eastAsia" w:ascii="仿宋" w:hAnsi="仿宋" w:eastAsia="仿宋" w:cs="仿宋"/>
          <w:bCs/>
          <w:sz w:val="24"/>
          <w:szCs w:val="24"/>
          <w:highlight w:val="none"/>
          <w:lang w:val="en-US" w:eastAsia="zh-Hans"/>
        </w:rPr>
        <w:t>拆分报价或不完整响应的将视为无效报价。</w:t>
      </w:r>
    </w:p>
    <w:p w14:paraId="7F07DD95">
      <w:pPr>
        <w:pStyle w:val="24"/>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r>
        <w:rPr>
          <w:rFonts w:hint="eastAsia" w:ascii="仿宋" w:hAnsi="仿宋" w:eastAsia="仿宋" w:cs="仿宋"/>
          <w:bCs/>
          <w:sz w:val="24"/>
          <w:szCs w:val="24"/>
          <w:highlight w:val="none"/>
          <w:lang w:val="en-US" w:eastAsia="zh-Hans"/>
        </w:rPr>
        <w:t>.2报价以人民币为货币单位，应分单价、小计和总价。</w:t>
      </w:r>
    </w:p>
    <w:p w14:paraId="1667D91D">
      <w:pPr>
        <w:pStyle w:val="24"/>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r>
        <w:rPr>
          <w:rFonts w:hint="eastAsia" w:ascii="仿宋" w:hAnsi="仿宋" w:eastAsia="仿宋" w:cs="仿宋"/>
          <w:bCs/>
          <w:sz w:val="24"/>
          <w:szCs w:val="24"/>
          <w:highlight w:val="none"/>
          <w:lang w:val="en-US" w:eastAsia="zh-Hans"/>
        </w:rPr>
        <w:t>.3投标总报价为完成本项目</w:t>
      </w:r>
      <w:r>
        <w:rPr>
          <w:rFonts w:hint="eastAsia" w:ascii="仿宋" w:hAnsi="仿宋" w:eastAsia="仿宋" w:cs="仿宋"/>
          <w:bCs/>
          <w:sz w:val="24"/>
          <w:szCs w:val="24"/>
          <w:highlight w:val="none"/>
          <w:lang w:val="en-US" w:eastAsia="zh-CN"/>
        </w:rPr>
        <w:t>成交</w:t>
      </w:r>
      <w:r>
        <w:rPr>
          <w:rFonts w:hint="eastAsia" w:ascii="仿宋" w:hAnsi="仿宋" w:eastAsia="仿宋" w:cs="仿宋"/>
          <w:bCs/>
          <w:sz w:val="24"/>
          <w:szCs w:val="24"/>
          <w:highlight w:val="none"/>
          <w:lang w:val="en-US" w:eastAsia="zh-Hans"/>
        </w:rPr>
        <w:t>后设计、设计成果确认后施工全流程，且经采购人验收合格、交付使用的全部费用，无任何额外费用，供应商漏报、少报的费用均视为已隐含在总报价中，成交后不得再向采购人收取任何费用，具体包含</w:t>
      </w:r>
      <w:r>
        <w:rPr>
          <w:rFonts w:hint="eastAsia" w:ascii="仿宋" w:hAnsi="仿宋" w:eastAsia="仿宋" w:cs="仿宋"/>
          <w:bCs/>
          <w:sz w:val="24"/>
          <w:szCs w:val="24"/>
          <w:highlight w:val="none"/>
          <w:lang w:val="en-US" w:eastAsia="zh-CN"/>
        </w:rPr>
        <w:t>：</w:t>
      </w:r>
    </w:p>
    <w:p w14:paraId="2D76B931">
      <w:pPr>
        <w:pStyle w:val="24"/>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（1）设计服务费用：现场勘查、原有管网核查、水箱及二次供水系统方案设计、全套施工图设计、工程量清单编制、设计交底、施工答疑、竣工图编制等全流程费用；</w:t>
      </w:r>
    </w:p>
    <w:p w14:paraId="56E38C6C">
      <w:pPr>
        <w:pStyle w:val="24"/>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（2）施工实施费用：旧管道及旧设备拆除、给水管道安装、水泵及变频设备安装、消毒设备安装、水箱改造、孔洞封堵、防水处理、墙面/地面修补、人工费、机械进退场及使用费；</w:t>
      </w:r>
    </w:p>
    <w:p w14:paraId="361001E0">
      <w:pPr>
        <w:pStyle w:val="24"/>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（3）材料设备费用：PVC-U给水管、阀门、水泵、变频控制柜、消毒设备、水箱内衬防渗材料、管道支架等所有材料设备费用（含运输、保管、损耗）；</w:t>
      </w:r>
    </w:p>
    <w:p w14:paraId="2BFD5CB7">
      <w:pPr>
        <w:pStyle w:val="24"/>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（4）检测调试费用：水压试验、冲洗消毒、水质检测、系统联动调试、设备性能检测等费用；</w:t>
      </w:r>
    </w:p>
    <w:p w14:paraId="04FB706F">
      <w:pPr>
        <w:pStyle w:val="24"/>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校园施工配套费用：项目管理费、利润、税金、售后服务费、保险费（公众责任险、建筑工程一切险、第三者责任险、涉水作业险、有限空间作业险、高空/夜间作业人身意外伤害险）、施工垃圾清运及土头外运费、校园现场保护费、临时用水用电费、校园施工协调费、水质安全保障费、临时供水保障费、成品保护费、文明施工及环保措施费；</w:t>
      </w:r>
    </w:p>
    <w:p w14:paraId="6299B242">
      <w:pPr>
        <w:pStyle w:val="24"/>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（6）其他风险费用：包含市场材料/人工价格波动、雨季/台风施工、自然条件变化、施工期间临时停水停电、设计优化调整、夜间 / 周末校园施工限制等所有项目实施过程中的风险费用。</w:t>
      </w:r>
    </w:p>
    <w:p w14:paraId="76D7F920">
      <w:pPr>
        <w:pStyle w:val="24"/>
        <w:spacing w:line="360" w:lineRule="auto"/>
        <w:rPr>
          <w:rFonts w:hint="eastAsia" w:ascii="仿宋" w:hAnsi="仿宋" w:eastAsia="仿宋" w:cs="仿宋"/>
          <w:bCs/>
          <w:sz w:val="24"/>
          <w:szCs w:val="24"/>
          <w:highlight w:val="none"/>
          <w:lang w:val="en-US" w:eastAsia="zh-Hans"/>
        </w:rPr>
      </w:pPr>
      <w:r>
        <w:rPr>
          <w:rFonts w:hint="eastAsia" w:ascii="仿宋" w:hAnsi="仿宋" w:eastAsia="仿宋" w:cs="仿宋"/>
          <w:bCs/>
          <w:sz w:val="24"/>
          <w:szCs w:val="24"/>
          <w:highlight w:val="none"/>
          <w:lang w:val="en-US" w:eastAsia="zh-CN"/>
        </w:rPr>
        <w:t>2.4</w:t>
      </w:r>
      <w:r>
        <w:rPr>
          <w:rFonts w:hint="eastAsia" w:ascii="仿宋" w:hAnsi="仿宋" w:eastAsia="仿宋" w:cs="仿宋"/>
          <w:bCs/>
          <w:sz w:val="24"/>
          <w:szCs w:val="24"/>
          <w:highlight w:val="none"/>
          <w:lang w:val="en-US" w:eastAsia="zh-Hans"/>
        </w:rPr>
        <w:t>本项目实行</w:t>
      </w:r>
      <w:r>
        <w:rPr>
          <w:rFonts w:hint="eastAsia" w:ascii="仿宋" w:hAnsi="仿宋" w:eastAsia="仿宋" w:cs="仿宋"/>
          <w:bCs/>
          <w:sz w:val="24"/>
          <w:szCs w:val="24"/>
          <w:highlight w:val="none"/>
          <w:lang w:val="en-US" w:eastAsia="zh-CN"/>
        </w:rPr>
        <w:t>成交</w:t>
      </w:r>
      <w:r>
        <w:rPr>
          <w:rFonts w:hint="eastAsia" w:ascii="仿宋" w:hAnsi="仿宋" w:eastAsia="仿宋" w:cs="仿宋"/>
          <w:bCs/>
          <w:sz w:val="24"/>
          <w:szCs w:val="24"/>
          <w:highlight w:val="none"/>
          <w:lang w:val="en-US" w:eastAsia="zh-Hans"/>
        </w:rPr>
        <w:t>总价包干制，自</w:t>
      </w:r>
      <w:r>
        <w:rPr>
          <w:rFonts w:hint="eastAsia" w:ascii="仿宋" w:hAnsi="仿宋" w:eastAsia="仿宋" w:cs="仿宋"/>
          <w:bCs/>
          <w:sz w:val="24"/>
          <w:szCs w:val="24"/>
          <w:highlight w:val="none"/>
          <w:lang w:val="en-US" w:eastAsia="zh-CN"/>
        </w:rPr>
        <w:t>成交</w:t>
      </w:r>
      <w:r>
        <w:rPr>
          <w:rFonts w:hint="eastAsia" w:ascii="仿宋" w:hAnsi="仿宋" w:eastAsia="仿宋" w:cs="仿宋"/>
          <w:bCs/>
          <w:sz w:val="24"/>
          <w:szCs w:val="24"/>
          <w:highlight w:val="none"/>
          <w:lang w:val="en-US" w:eastAsia="zh-Hans"/>
        </w:rPr>
        <w:t>通知书发出之日起，</w:t>
      </w:r>
      <w:r>
        <w:rPr>
          <w:rFonts w:hint="eastAsia" w:ascii="仿宋" w:hAnsi="仿宋" w:eastAsia="仿宋" w:cs="仿宋"/>
          <w:bCs/>
          <w:sz w:val="24"/>
          <w:szCs w:val="24"/>
          <w:highlight w:val="none"/>
          <w:lang w:val="en-US" w:eastAsia="zh-CN"/>
        </w:rPr>
        <w:t>无论是否发生采购人书面提出的设计/施工变更，成交</w:t>
      </w:r>
      <w:r>
        <w:rPr>
          <w:rFonts w:hint="eastAsia" w:ascii="仿宋" w:hAnsi="仿宋" w:eastAsia="仿宋" w:cs="仿宋"/>
          <w:bCs/>
          <w:sz w:val="24"/>
          <w:szCs w:val="24"/>
          <w:highlight w:val="none"/>
          <w:lang w:val="en-US" w:eastAsia="zh-Hans"/>
        </w:rPr>
        <w:t>总价一律不予调整；供应商报价时须充分考虑并承担所有项目实施风险，包括但不限于：清单错漏、市场价格波动、校园施工干扰、设计成果优化调整、设计漏项/错项导致的施工成本增加</w:t>
      </w:r>
      <w:r>
        <w:rPr>
          <w:rFonts w:hint="eastAsia" w:ascii="仿宋" w:hAnsi="仿宋" w:eastAsia="仿宋" w:cs="仿宋"/>
          <w:bCs/>
          <w:sz w:val="24"/>
          <w:szCs w:val="24"/>
          <w:highlight w:val="none"/>
          <w:lang w:val="en-US" w:eastAsia="zh-CN"/>
        </w:rPr>
        <w:t>及采购人设计/施工变更产生的全部成本</w:t>
      </w:r>
      <w:r>
        <w:rPr>
          <w:rFonts w:hint="eastAsia" w:ascii="仿宋" w:hAnsi="仿宋" w:eastAsia="仿宋" w:cs="仿宋"/>
          <w:bCs/>
          <w:sz w:val="24"/>
          <w:szCs w:val="24"/>
          <w:highlight w:val="none"/>
          <w:lang w:val="en-US" w:eastAsia="zh-Hans"/>
        </w:rPr>
        <w:t>等。</w:t>
      </w:r>
    </w:p>
    <w:p w14:paraId="34A5B2B6">
      <w:pPr>
        <w:pStyle w:val="24"/>
        <w:spacing w:line="360" w:lineRule="auto"/>
        <w:rPr>
          <w:rFonts w:hint="eastAsia" w:ascii="仿宋" w:hAnsi="仿宋" w:eastAsia="仿宋" w:cs="仿宋"/>
          <w:bCs/>
          <w:sz w:val="24"/>
          <w:szCs w:val="24"/>
          <w:highlight w:val="none"/>
          <w:lang w:val="en-US" w:eastAsia="zh-Hans"/>
        </w:rPr>
      </w:pPr>
      <w:r>
        <w:rPr>
          <w:rFonts w:hint="eastAsia" w:ascii="仿宋" w:hAnsi="仿宋" w:eastAsia="仿宋" w:cs="仿宋"/>
          <w:bCs/>
          <w:sz w:val="24"/>
          <w:szCs w:val="24"/>
          <w:highlight w:val="none"/>
          <w:lang w:val="en-US" w:eastAsia="zh-CN"/>
        </w:rPr>
        <w:t>2.5</w:t>
      </w:r>
      <w:r>
        <w:rPr>
          <w:rFonts w:hint="eastAsia" w:ascii="仿宋" w:hAnsi="仿宋" w:eastAsia="仿宋" w:cs="仿宋"/>
          <w:bCs/>
          <w:sz w:val="24"/>
          <w:szCs w:val="24"/>
          <w:highlight w:val="none"/>
          <w:lang w:val="en-US" w:eastAsia="zh-Hans"/>
        </w:rPr>
        <w:t>成交后供应商需按采购人要求编制正式工程量清单，清单分项单价由供应商结合设计成果自主编制，且清单总合价不得超出</w:t>
      </w:r>
      <w:r>
        <w:rPr>
          <w:rFonts w:hint="eastAsia" w:ascii="仿宋" w:hAnsi="仿宋" w:eastAsia="仿宋" w:cs="仿宋"/>
          <w:bCs/>
          <w:sz w:val="24"/>
          <w:szCs w:val="24"/>
          <w:highlight w:val="none"/>
          <w:lang w:val="en-US" w:eastAsia="zh-CN"/>
        </w:rPr>
        <w:t>成交</w:t>
      </w:r>
      <w:r>
        <w:rPr>
          <w:rFonts w:hint="eastAsia" w:ascii="仿宋" w:hAnsi="仿宋" w:eastAsia="仿宋" w:cs="仿宋"/>
          <w:bCs/>
          <w:sz w:val="24"/>
          <w:szCs w:val="24"/>
          <w:highlight w:val="none"/>
          <w:lang w:val="en-US" w:eastAsia="zh-Hans"/>
        </w:rPr>
        <w:t>总价。</w:t>
      </w:r>
    </w:p>
    <w:p w14:paraId="48C64232">
      <w:pPr>
        <w:pStyle w:val="24"/>
        <w:spacing w:line="360" w:lineRule="auto"/>
        <w:rPr>
          <w:rFonts w:hint="eastAsia" w:ascii="仿宋" w:hAnsi="仿宋" w:eastAsia="仿宋" w:cs="仿宋"/>
          <w:bCs/>
          <w:sz w:val="24"/>
          <w:szCs w:val="24"/>
          <w:highlight w:val="none"/>
          <w:lang w:val="en-US" w:eastAsia="zh-Hans"/>
        </w:rPr>
      </w:pPr>
      <w:r>
        <w:rPr>
          <w:rFonts w:hint="eastAsia" w:ascii="仿宋" w:hAnsi="仿宋" w:eastAsia="仿宋" w:cs="仿宋"/>
          <w:bCs/>
          <w:sz w:val="24"/>
          <w:szCs w:val="24"/>
          <w:highlight w:val="none"/>
          <w:lang w:val="en-US" w:eastAsia="zh-CN"/>
        </w:rPr>
        <w:t>2</w:t>
      </w:r>
      <w:r>
        <w:rPr>
          <w:rFonts w:hint="eastAsia" w:ascii="仿宋" w:hAnsi="仿宋" w:eastAsia="仿宋" w:cs="仿宋"/>
          <w:bCs/>
          <w:sz w:val="24"/>
          <w:szCs w:val="24"/>
          <w:highlight w:val="none"/>
          <w:lang w:val="en-US" w:eastAsia="zh-Hans"/>
        </w:rPr>
        <w:t>.</w:t>
      </w:r>
      <w:r>
        <w:rPr>
          <w:rFonts w:hint="eastAsia" w:ascii="仿宋" w:hAnsi="仿宋" w:eastAsia="仿宋" w:cs="仿宋"/>
          <w:bCs/>
          <w:sz w:val="24"/>
          <w:szCs w:val="24"/>
          <w:highlight w:val="none"/>
          <w:lang w:val="en-US" w:eastAsia="zh-CN"/>
        </w:rPr>
        <w:t>6供应商</w:t>
      </w:r>
      <w:r>
        <w:rPr>
          <w:rFonts w:hint="eastAsia" w:ascii="仿宋" w:hAnsi="仿宋" w:eastAsia="仿宋" w:cs="仿宋"/>
          <w:bCs/>
          <w:sz w:val="24"/>
          <w:szCs w:val="24"/>
          <w:highlight w:val="none"/>
          <w:lang w:val="en-US" w:eastAsia="zh-Hans"/>
        </w:rPr>
        <w:t>对本项目只能有一个报价，采购人不接受有选择的报价。</w:t>
      </w:r>
    </w:p>
    <w:p w14:paraId="2822F2CC">
      <w:pPr>
        <w:pStyle w:val="24"/>
        <w:spacing w:line="360" w:lineRule="auto"/>
        <w:rPr>
          <w:rFonts w:hint="eastAsia" w:ascii="仿宋" w:hAnsi="仿宋" w:eastAsia="仿宋" w:cs="仿宋"/>
          <w:kern w:val="0"/>
          <w:sz w:val="24"/>
          <w:szCs w:val="24"/>
          <w:highlight w:val="none"/>
          <w:lang w:val="en-US" w:eastAsia="zh-CN" w:bidi="ar-SA"/>
        </w:rPr>
      </w:pPr>
      <w:r>
        <w:rPr>
          <w:rFonts w:hint="eastAsia" w:ascii="仿宋" w:hAnsi="仿宋" w:eastAsia="仿宋" w:cs="仿宋"/>
          <w:bCs/>
          <w:sz w:val="24"/>
          <w:szCs w:val="24"/>
          <w:highlight w:val="none"/>
          <w:lang w:val="en-US" w:eastAsia="zh-CN"/>
        </w:rPr>
        <w:t>2.7</w:t>
      </w:r>
      <w:r>
        <w:rPr>
          <w:rFonts w:hint="eastAsia" w:ascii="仿宋" w:hAnsi="仿宋" w:eastAsia="仿宋" w:cs="仿宋"/>
          <w:kern w:val="0"/>
          <w:sz w:val="24"/>
          <w:szCs w:val="24"/>
          <w:highlight w:val="none"/>
          <w:lang w:val="en-US" w:eastAsia="zh-CN" w:bidi="ar-SA"/>
        </w:rPr>
        <w:t>若供应商最后报价时没有提交明细报价的，则其最后报价单价按以下公式计算：最后报价单价=首次报价单价×（最后报价/首次报价），计算结果按四舍五入计算保留至小数点后两位，然后再根据最后报价修正单价。</w:t>
      </w:r>
    </w:p>
    <w:p w14:paraId="5CB409FD">
      <w:pPr>
        <w:pStyle w:val="24"/>
        <w:numPr>
          <w:ilvl w:val="0"/>
          <w:numId w:val="0"/>
        </w:numPr>
        <w:spacing w:line="360" w:lineRule="auto"/>
        <w:ind w:left="0" w:leftChars="0" w:firstLine="0" w:firstLineChars="0"/>
        <w:rPr>
          <w:rFonts w:hint="eastAsia" w:ascii="仿宋" w:hAnsi="仿宋" w:eastAsia="仿宋" w:cs="仿宋"/>
          <w:b/>
          <w:bCs/>
          <w:kern w:val="0"/>
          <w:sz w:val="28"/>
          <w:szCs w:val="28"/>
          <w:highlight w:val="none"/>
          <w:lang w:val="en-US" w:eastAsia="zh-CN" w:bidi="ar-SA"/>
        </w:rPr>
      </w:pPr>
      <w:r>
        <w:rPr>
          <w:rFonts w:hint="eastAsia" w:ascii="仿宋" w:hAnsi="仿宋" w:eastAsia="仿宋" w:cs="仿宋"/>
          <w:b/>
          <w:bCs/>
          <w:kern w:val="0"/>
          <w:sz w:val="28"/>
          <w:szCs w:val="28"/>
          <w:highlight w:val="none"/>
          <w:lang w:val="en-US" w:eastAsia="zh-CN" w:bidi="ar-SA"/>
        </w:rPr>
        <w:t>4、验收方式</w:t>
      </w:r>
    </w:p>
    <w:tbl>
      <w:tblPr>
        <w:tblStyle w:val="19"/>
        <w:tblW w:w="48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6"/>
        <w:gridCol w:w="8507"/>
      </w:tblGrid>
      <w:tr w14:paraId="208E3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4" w:type="pct"/>
            <w:vAlign w:val="center"/>
          </w:tcPr>
          <w:p w14:paraId="3C209EB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bCs/>
                <w:kern w:val="0"/>
                <w:sz w:val="24"/>
                <w:highlight w:val="none"/>
              </w:rPr>
            </w:pPr>
            <w:r>
              <w:rPr>
                <w:rFonts w:hint="eastAsia" w:ascii="仿宋" w:hAnsi="仿宋" w:eastAsia="仿宋" w:cs="仿宋"/>
                <w:bCs/>
                <w:kern w:val="0"/>
                <w:sz w:val="24"/>
                <w:highlight w:val="none"/>
              </w:rPr>
              <w:t>序号</w:t>
            </w:r>
          </w:p>
        </w:tc>
        <w:tc>
          <w:tcPr>
            <w:tcW w:w="4365" w:type="pct"/>
            <w:vAlign w:val="center"/>
          </w:tcPr>
          <w:p w14:paraId="094412B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bCs/>
                <w:kern w:val="0"/>
                <w:sz w:val="24"/>
                <w:highlight w:val="none"/>
              </w:rPr>
            </w:pPr>
            <w:r>
              <w:rPr>
                <w:rFonts w:hint="eastAsia" w:ascii="仿宋" w:hAnsi="仿宋" w:eastAsia="仿宋" w:cs="仿宋"/>
                <w:bCs/>
                <w:kern w:val="0"/>
                <w:sz w:val="24"/>
                <w:highlight w:val="none"/>
              </w:rPr>
              <w:t>验收说明</w:t>
            </w:r>
          </w:p>
        </w:tc>
      </w:tr>
      <w:tr w14:paraId="48854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4" w:type="pct"/>
            <w:vAlign w:val="center"/>
          </w:tcPr>
          <w:p w14:paraId="0FCE76B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1</w:t>
            </w:r>
          </w:p>
        </w:tc>
        <w:tc>
          <w:tcPr>
            <w:tcW w:w="4365" w:type="pct"/>
            <w:vAlign w:val="center"/>
          </w:tcPr>
          <w:p w14:paraId="4E44CF6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验收依据：</w:t>
            </w:r>
          </w:p>
          <w:p w14:paraId="3D4A631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（1）本项目磋商文件及其附件、供应商的投标文件、正式采购合同；</w:t>
            </w:r>
          </w:p>
          <w:p w14:paraId="3D2FD72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（2）经采购人书面确认的设计成果、正式工程量清单、施工图纸及设计变更文件；</w:t>
            </w:r>
          </w:p>
          <w:p w14:paraId="593DADE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（3）国家、福建省及厦门市现行的二次供水、给排水、饮用水卫生标准、规范。</w:t>
            </w:r>
          </w:p>
        </w:tc>
      </w:tr>
      <w:tr w14:paraId="04961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4" w:type="pct"/>
            <w:vAlign w:val="center"/>
          </w:tcPr>
          <w:p w14:paraId="31019FA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val="en-US" w:eastAsia="zh-CN"/>
              </w:rPr>
              <w:t>2</w:t>
            </w:r>
          </w:p>
        </w:tc>
        <w:tc>
          <w:tcPr>
            <w:tcW w:w="4365" w:type="pct"/>
            <w:vAlign w:val="center"/>
          </w:tcPr>
          <w:p w14:paraId="1879E29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rPr>
            </w:pPr>
            <w:r>
              <w:rPr>
                <w:rFonts w:hint="eastAsia" w:ascii="仿宋" w:hAnsi="仿宋" w:eastAsia="仿宋" w:cs="仿宋"/>
                <w:kern w:val="0"/>
                <w:sz w:val="24"/>
                <w:highlight w:val="none"/>
              </w:rPr>
              <w:t>工程具备以下条件的，供应商可以申请竣工验收：</w:t>
            </w:r>
          </w:p>
          <w:p w14:paraId="1F978EE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lang w:eastAsia="zh-CN"/>
              </w:rPr>
              <w:t>）完成正式工程量清单内全部工作，符合合同及现行规范要求（采购人书面同意的甩项工作和缺陷修补工作除外）</w:t>
            </w:r>
            <w:r>
              <w:rPr>
                <w:rFonts w:hint="eastAsia" w:ascii="仿宋" w:hAnsi="仿宋" w:eastAsia="仿宋" w:cs="仿宋"/>
                <w:kern w:val="0"/>
                <w:sz w:val="24"/>
                <w:highlight w:val="none"/>
              </w:rPr>
              <w:t>；</w:t>
            </w:r>
          </w:p>
          <w:p w14:paraId="50C1387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lang w:eastAsia="zh-CN"/>
              </w:rPr>
              <w:t>）已按合同约定编制甩项工作和缺陷修补工作清单及相应施工计划，并经采购人确认</w:t>
            </w:r>
            <w:r>
              <w:rPr>
                <w:rFonts w:hint="eastAsia" w:ascii="仿宋" w:hAnsi="仿宋" w:eastAsia="仿宋" w:cs="仿宋"/>
                <w:kern w:val="0"/>
                <w:sz w:val="24"/>
                <w:highlight w:val="none"/>
              </w:rPr>
              <w:t>；</w:t>
            </w:r>
          </w:p>
          <w:p w14:paraId="0EC2D7C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3</w:t>
            </w:r>
            <w:r>
              <w:rPr>
                <w:rFonts w:hint="eastAsia" w:ascii="仿宋" w:hAnsi="仿宋" w:eastAsia="仿宋" w:cs="仿宋"/>
                <w:kern w:val="0"/>
                <w:sz w:val="24"/>
                <w:highlight w:val="none"/>
                <w:lang w:eastAsia="zh-CN"/>
              </w:rPr>
              <w:t>）已按合同约定内容和份数备齐竣工资料（含设计图纸、竣工图、清单、材料检测报告、卫生许可批件、水压试验记录、隐蔽工程验收记录、水质检测合格报告、验收申请报告等）</w:t>
            </w:r>
            <w:r>
              <w:rPr>
                <w:rFonts w:hint="eastAsia" w:ascii="仿宋" w:hAnsi="仿宋" w:eastAsia="仿宋" w:cs="仿宋"/>
                <w:kern w:val="0"/>
                <w:sz w:val="24"/>
                <w:highlight w:val="none"/>
              </w:rPr>
              <w:t>。</w:t>
            </w:r>
          </w:p>
          <w:p w14:paraId="5AFB64F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4</w:t>
            </w:r>
            <w:r>
              <w:rPr>
                <w:rFonts w:hint="eastAsia" w:ascii="仿宋" w:hAnsi="仿宋" w:eastAsia="仿宋" w:cs="仿宋"/>
                <w:kern w:val="0"/>
                <w:sz w:val="24"/>
                <w:highlight w:val="none"/>
                <w:lang w:eastAsia="zh-CN"/>
              </w:rPr>
              <w:t>）施工场地已恢复至原有状态，施工垃圾全部清运完毕，无任何遗留问题。</w:t>
            </w:r>
          </w:p>
          <w:p w14:paraId="214C1F6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lang w:eastAsia="zh-CN"/>
              </w:rPr>
              <w:t>）配合采购人完成第三方检测及相关部门联合验收。</w:t>
            </w:r>
          </w:p>
        </w:tc>
      </w:tr>
      <w:tr w14:paraId="5EDF0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4" w:type="pct"/>
            <w:vAlign w:val="center"/>
          </w:tcPr>
          <w:p w14:paraId="4989188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val="en-US" w:eastAsia="zh-CN"/>
              </w:rPr>
              <w:t>3</w:t>
            </w:r>
          </w:p>
        </w:tc>
        <w:tc>
          <w:tcPr>
            <w:tcW w:w="4365" w:type="pct"/>
            <w:vAlign w:val="center"/>
          </w:tcPr>
          <w:p w14:paraId="2F0D0B6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rPr>
            </w:pPr>
            <w:r>
              <w:rPr>
                <w:rFonts w:hint="eastAsia" w:ascii="仿宋" w:hAnsi="仿宋" w:eastAsia="仿宋" w:cs="仿宋"/>
                <w:kern w:val="0"/>
                <w:sz w:val="24"/>
                <w:highlight w:val="none"/>
              </w:rPr>
              <w:t>竣工验收程序：</w:t>
            </w:r>
          </w:p>
          <w:p w14:paraId="2110603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lang w:eastAsia="zh-CN"/>
              </w:rPr>
              <w:t>）供应商向采购人报送竣工验收申请报告及全套竣工资料，采购人审查后认为尚不具备验收条件的，书面通知供应商需完成的补充工作，供应商完成后重新提交申请</w:t>
            </w:r>
            <w:r>
              <w:rPr>
                <w:rFonts w:hint="eastAsia" w:ascii="仿宋" w:hAnsi="仿宋" w:eastAsia="仿宋" w:cs="仿宋"/>
                <w:kern w:val="0"/>
                <w:sz w:val="24"/>
                <w:highlight w:val="none"/>
              </w:rPr>
              <w:t>；</w:t>
            </w:r>
          </w:p>
          <w:p w14:paraId="584E14A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lang w:eastAsia="zh-CN"/>
              </w:rPr>
              <w:t>）采购人审查认为具备验收条件的，组织监理人、供应商、设计人等相关单位开展竣工验收</w:t>
            </w:r>
            <w:r>
              <w:rPr>
                <w:rFonts w:hint="eastAsia" w:ascii="仿宋" w:hAnsi="仿宋" w:eastAsia="仿宋" w:cs="仿宋"/>
                <w:kern w:val="0"/>
                <w:sz w:val="24"/>
                <w:highlight w:val="none"/>
              </w:rPr>
              <w:t>；</w:t>
            </w:r>
          </w:p>
          <w:p w14:paraId="38F44A3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3</w:t>
            </w:r>
            <w:r>
              <w:rPr>
                <w:rFonts w:hint="eastAsia" w:ascii="仿宋" w:hAnsi="仿宋" w:eastAsia="仿宋" w:cs="仿宋"/>
                <w:kern w:val="0"/>
                <w:sz w:val="24"/>
                <w:highlight w:val="none"/>
                <w:lang w:eastAsia="zh-CN"/>
              </w:rPr>
              <w:t>）竣工验收合格的，采购人在验收合格后10个工作日内向供应商签发工程接收证书</w:t>
            </w:r>
            <w:r>
              <w:rPr>
                <w:rFonts w:hint="eastAsia" w:ascii="仿宋" w:hAnsi="仿宋" w:eastAsia="仿宋" w:cs="仿宋"/>
                <w:kern w:val="0"/>
                <w:sz w:val="24"/>
                <w:highlight w:val="none"/>
              </w:rPr>
              <w:t>；</w:t>
            </w:r>
          </w:p>
          <w:p w14:paraId="796CE8C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4</w:t>
            </w:r>
            <w:r>
              <w:rPr>
                <w:rFonts w:hint="eastAsia" w:ascii="仿宋" w:hAnsi="仿宋" w:eastAsia="仿宋" w:cs="仿宋"/>
                <w:kern w:val="0"/>
                <w:sz w:val="24"/>
                <w:highlight w:val="none"/>
                <w:lang w:eastAsia="zh-CN"/>
              </w:rPr>
              <w:t>）竣工验收不合格的，采购人书面要求供应商限期返工、修复，由此增加的费用、损失和工期延误均由供应商承担；供应商完成整改后，重新提交竣工验收申请报告，按本条款约定程序重新验收</w:t>
            </w:r>
            <w:r>
              <w:rPr>
                <w:rFonts w:hint="eastAsia" w:ascii="仿宋" w:hAnsi="仿宋" w:eastAsia="仿宋" w:cs="仿宋"/>
                <w:kern w:val="0"/>
                <w:sz w:val="24"/>
                <w:highlight w:val="none"/>
              </w:rPr>
              <w:t>。</w:t>
            </w:r>
          </w:p>
        </w:tc>
      </w:tr>
      <w:tr w14:paraId="4719B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4" w:type="pct"/>
            <w:vAlign w:val="center"/>
          </w:tcPr>
          <w:p w14:paraId="2604E51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4</w:t>
            </w:r>
          </w:p>
        </w:tc>
        <w:tc>
          <w:tcPr>
            <w:tcW w:w="4365" w:type="pct"/>
            <w:vAlign w:val="center"/>
          </w:tcPr>
          <w:p w14:paraId="23194E5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验收其他要求：</w:t>
            </w:r>
          </w:p>
          <w:p w14:paraId="1617DE6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lang w:eastAsia="zh-CN"/>
              </w:rPr>
              <w:t>）验收时供应商必须派专业技术代表到场配合，验收过程产生的一切费用由供应商承担；</w:t>
            </w:r>
          </w:p>
          <w:p w14:paraId="5B407AE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lang w:eastAsia="zh-CN"/>
              </w:rPr>
              <w:t>）采购人有权委托具有检测资质的第三方机构，对工程性能、材料质量、水质进行复检，检验结果作为验收标准的组成部分，检验费用由供应商承担；</w:t>
            </w:r>
          </w:p>
          <w:p w14:paraId="219742B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3</w:t>
            </w:r>
            <w:r>
              <w:rPr>
                <w:rFonts w:hint="eastAsia" w:ascii="仿宋" w:hAnsi="仿宋" w:eastAsia="仿宋" w:cs="仿宋"/>
                <w:kern w:val="0"/>
                <w:sz w:val="24"/>
                <w:highlight w:val="none"/>
                <w:lang w:eastAsia="zh-CN"/>
              </w:rPr>
              <w:t>）供货、安装调试及验收过程中发生安全事故的，责任及相应赔偿均由供应商自行承担，采购人不承担任何责任；</w:t>
            </w:r>
          </w:p>
          <w:p w14:paraId="4077752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4</w:t>
            </w:r>
            <w:r>
              <w:rPr>
                <w:rFonts w:hint="eastAsia" w:ascii="仿宋" w:hAnsi="仿宋" w:eastAsia="仿宋" w:cs="仿宋"/>
                <w:kern w:val="0"/>
                <w:sz w:val="24"/>
                <w:highlight w:val="none"/>
                <w:lang w:eastAsia="zh-CN"/>
              </w:rPr>
              <w:t>）采购人将对供应商的服务、施工质量等服务质量进行综合考核，考核不合格的，采购人有权拒绝签发工程接收证书，并要求供应商限期整改。</w:t>
            </w:r>
          </w:p>
        </w:tc>
      </w:tr>
    </w:tbl>
    <w:p w14:paraId="02EA8E2D">
      <w:pPr>
        <w:pStyle w:val="24"/>
        <w:numPr>
          <w:ilvl w:val="0"/>
          <w:numId w:val="0"/>
        </w:numPr>
        <w:spacing w:line="360" w:lineRule="auto"/>
        <w:ind w:left="0" w:leftChars="0" w:firstLine="0" w:firstLineChars="0"/>
        <w:rPr>
          <w:rFonts w:hint="eastAsia" w:ascii="仿宋" w:hAnsi="仿宋" w:eastAsia="仿宋" w:cs="仿宋"/>
          <w:b/>
          <w:bCs/>
          <w:kern w:val="0"/>
          <w:sz w:val="28"/>
          <w:szCs w:val="28"/>
          <w:highlight w:val="none"/>
          <w:lang w:val="en-US" w:eastAsia="zh-CN" w:bidi="ar-SA"/>
        </w:rPr>
      </w:pPr>
      <w:bookmarkStart w:id="24" w:name="_Toc63471459"/>
      <w:bookmarkStart w:id="25" w:name="_Toc433901064"/>
      <w:bookmarkStart w:id="26" w:name="_Toc351203598"/>
      <w:bookmarkStart w:id="27" w:name="_Toc337558815"/>
      <w:r>
        <w:rPr>
          <w:rFonts w:hint="eastAsia" w:ascii="仿宋" w:hAnsi="仿宋" w:eastAsia="仿宋" w:cs="仿宋"/>
          <w:b/>
          <w:bCs/>
          <w:kern w:val="0"/>
          <w:sz w:val="28"/>
          <w:szCs w:val="28"/>
          <w:highlight w:val="none"/>
          <w:lang w:val="en-US" w:eastAsia="zh-CN" w:bidi="ar-SA"/>
        </w:rPr>
        <w:t>4、缺陷责任与保修</w:t>
      </w:r>
      <w:bookmarkEnd w:id="24"/>
      <w:bookmarkEnd w:id="25"/>
      <w:bookmarkEnd w:id="26"/>
    </w:p>
    <w:bookmarkEnd w:id="27"/>
    <w:p w14:paraId="2858D85E">
      <w:pPr>
        <w:pStyle w:val="31"/>
        <w:pageBreakBefore w:val="0"/>
        <w:widowControl w:val="0"/>
        <w:numPr>
          <w:ilvl w:val="1"/>
          <w:numId w:val="0"/>
        </w:numPr>
        <w:tabs>
          <w:tab w:val="left" w:pos="993"/>
        </w:tabs>
        <w:kinsoku/>
        <w:wordWrap/>
        <w:overflowPunct/>
        <w:topLinePunct w:val="0"/>
        <w:bidi w:val="0"/>
        <w:spacing w:line="360" w:lineRule="auto"/>
        <w:ind w:firstLine="425"/>
        <w:rPr>
          <w:rFonts w:hint="eastAsia" w:ascii="仿宋" w:hAnsi="仿宋" w:eastAsia="仿宋" w:cs="仿宋"/>
          <w:sz w:val="24"/>
          <w:highlight w:val="none"/>
        </w:rPr>
      </w:pPr>
      <w:bookmarkStart w:id="28" w:name="_Toc337558816"/>
      <w:bookmarkStart w:id="29" w:name="_Toc296503114"/>
      <w:bookmarkStart w:id="30" w:name="_Toc351203599"/>
      <w:bookmarkStart w:id="31" w:name="_Toc296346615"/>
      <w:r>
        <w:rPr>
          <w:rFonts w:hint="eastAsia" w:ascii="仿宋" w:hAnsi="仿宋" w:eastAsia="仿宋" w:cs="仿宋"/>
          <w:sz w:val="24"/>
          <w:highlight w:val="none"/>
          <w:lang w:val="en-US" w:eastAsia="zh-CN"/>
        </w:rPr>
        <w:t>4</w:t>
      </w:r>
      <w:r>
        <w:rPr>
          <w:rFonts w:hint="eastAsia" w:ascii="仿宋" w:hAnsi="仿宋" w:eastAsia="仿宋" w:cs="仿宋"/>
          <w:sz w:val="24"/>
          <w:highlight w:val="none"/>
        </w:rPr>
        <w:t>.1缺陷责任期</w:t>
      </w:r>
    </w:p>
    <w:p w14:paraId="3E2FD2DC">
      <w:pPr>
        <w:pStyle w:val="31"/>
        <w:pageBreakBefore w:val="0"/>
        <w:widowControl w:val="0"/>
        <w:numPr>
          <w:ilvl w:val="1"/>
          <w:numId w:val="0"/>
        </w:numPr>
        <w:tabs>
          <w:tab w:val="left" w:pos="993"/>
        </w:tabs>
        <w:kinsoku/>
        <w:wordWrap/>
        <w:overflowPunct/>
        <w:topLinePunct w:val="0"/>
        <w:bidi w:val="0"/>
        <w:spacing w:line="360" w:lineRule="auto"/>
        <w:ind w:firstLine="425"/>
        <w:rPr>
          <w:rFonts w:hint="eastAsia" w:ascii="仿宋" w:hAnsi="仿宋" w:eastAsia="仿宋" w:cs="仿宋"/>
          <w:sz w:val="24"/>
          <w:highlight w:val="none"/>
        </w:rPr>
      </w:pPr>
      <w:r>
        <w:rPr>
          <w:rFonts w:hint="eastAsia" w:ascii="仿宋" w:hAnsi="仿宋" w:eastAsia="仿宋" w:cs="仿宋"/>
          <w:sz w:val="24"/>
          <w:highlight w:val="none"/>
        </w:rPr>
        <w:t>缺陷责任期</w:t>
      </w:r>
      <w:r>
        <w:rPr>
          <w:rFonts w:hint="eastAsia" w:ascii="仿宋" w:hAnsi="仿宋" w:eastAsia="仿宋" w:cs="仿宋"/>
          <w:sz w:val="24"/>
          <w:highlight w:val="none"/>
          <w:lang w:eastAsia="zh-CN"/>
        </w:rPr>
        <w:t>：自竣工验收合格之日起24个月</w:t>
      </w:r>
      <w:r>
        <w:rPr>
          <w:rFonts w:hint="eastAsia" w:ascii="仿宋" w:hAnsi="仿宋" w:eastAsia="仿宋" w:cs="仿宋"/>
          <w:sz w:val="24"/>
          <w:highlight w:val="none"/>
        </w:rPr>
        <w:t>；缺陷责任期内，因供应商原因造成的缺陷，接到报修通知后1小时内响应，4 小时内到达现场处理；核心设备（水泵、变频控制系统、消毒设备）故障需在24小时内修复，无法修复的立即更换备用设备，确保供水不间断</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供应商</w:t>
      </w:r>
      <w:r>
        <w:rPr>
          <w:rFonts w:hint="eastAsia" w:ascii="仿宋" w:hAnsi="仿宋" w:eastAsia="仿宋" w:cs="仿宋"/>
          <w:sz w:val="24"/>
          <w:highlight w:val="none"/>
        </w:rPr>
        <w:t>承担鉴定及全部维修费用；如供应商不维修也不承担费用，采购人可从履约保证金中扣除相应费用，费用超出保证金额的，有权向供应商进一步索赔；供应商维修后，不免除对工程的损失赔偿责任。</w:t>
      </w:r>
    </w:p>
    <w:p w14:paraId="755183FA">
      <w:pPr>
        <w:pStyle w:val="31"/>
        <w:pageBreakBefore w:val="0"/>
        <w:widowControl w:val="0"/>
        <w:numPr>
          <w:ilvl w:val="1"/>
          <w:numId w:val="0"/>
        </w:numPr>
        <w:tabs>
          <w:tab w:val="left" w:pos="993"/>
        </w:tabs>
        <w:kinsoku/>
        <w:wordWrap/>
        <w:overflowPunct/>
        <w:topLinePunct w:val="0"/>
        <w:bidi w:val="0"/>
        <w:spacing w:line="360" w:lineRule="auto"/>
        <w:ind w:firstLine="425"/>
        <w:rPr>
          <w:rFonts w:hint="eastAsia" w:ascii="仿宋" w:hAnsi="仿宋" w:eastAsia="仿宋" w:cs="仿宋"/>
          <w:sz w:val="24"/>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.2保修责任</w:t>
      </w:r>
    </w:p>
    <w:p w14:paraId="462AC7AA">
      <w:pPr>
        <w:pStyle w:val="31"/>
        <w:pageBreakBefore w:val="0"/>
        <w:widowControl w:val="0"/>
        <w:numPr>
          <w:ilvl w:val="1"/>
          <w:numId w:val="0"/>
        </w:numPr>
        <w:tabs>
          <w:tab w:val="left" w:pos="993"/>
        </w:tabs>
        <w:kinsoku/>
        <w:wordWrap/>
        <w:overflowPunct/>
        <w:topLinePunct w:val="0"/>
        <w:bidi w:val="0"/>
        <w:spacing w:line="360" w:lineRule="auto"/>
        <w:ind w:firstLine="425"/>
        <w:rPr>
          <w:rFonts w:hint="eastAsia" w:ascii="仿宋" w:hAnsi="仿宋" w:eastAsia="仿宋" w:cs="仿宋"/>
          <w:sz w:val="24"/>
          <w:highlight w:val="none"/>
        </w:rPr>
      </w:pPr>
      <w:r>
        <w:rPr>
          <w:rFonts w:hint="eastAsia" w:ascii="仿宋" w:hAnsi="仿宋" w:eastAsia="仿宋" w:cs="仿宋"/>
          <w:sz w:val="24"/>
          <w:highlight w:val="none"/>
          <w:lang w:eastAsia="zh-CN"/>
        </w:rPr>
        <w:t>工程整体免费保修24个月；核心设备（水泵机组、变频控制系统、消毒设备）质保期不少于3年，</w:t>
      </w:r>
      <w:r>
        <w:rPr>
          <w:rFonts w:hint="eastAsia" w:ascii="仿宋" w:hAnsi="仿宋" w:eastAsia="仿宋" w:cs="仿宋"/>
          <w:sz w:val="24"/>
          <w:highlight w:val="none"/>
        </w:rPr>
        <w:t>本项目涉及的装修修补工程保修期均为</w:t>
      </w:r>
      <w:r>
        <w:rPr>
          <w:rFonts w:hint="default" w:ascii="仿宋" w:hAnsi="仿宋" w:eastAsia="仿宋" w:cs="仿宋"/>
          <w:sz w:val="24"/>
          <w:highlight w:val="none"/>
          <w:lang w:val="en-US"/>
        </w:rPr>
        <w:t>24个月</w:t>
      </w:r>
      <w:r>
        <w:rPr>
          <w:rFonts w:hint="eastAsia" w:ascii="仿宋" w:hAnsi="仿宋" w:eastAsia="仿宋" w:cs="仿宋"/>
          <w:sz w:val="24"/>
          <w:highlight w:val="none"/>
        </w:rPr>
        <w:t>；保修范围仅限本次改造的施工内容及配套材料设备，保修期从工程竣工验收合格之日起算。</w:t>
      </w:r>
    </w:p>
    <w:p w14:paraId="6C2CFD79">
      <w:pPr>
        <w:pStyle w:val="31"/>
        <w:pageBreakBefore w:val="0"/>
        <w:widowControl w:val="0"/>
        <w:numPr>
          <w:ilvl w:val="1"/>
          <w:numId w:val="0"/>
        </w:numPr>
        <w:tabs>
          <w:tab w:val="left" w:pos="993"/>
        </w:tabs>
        <w:kinsoku/>
        <w:wordWrap/>
        <w:overflowPunct/>
        <w:topLinePunct w:val="0"/>
        <w:bidi w:val="0"/>
        <w:spacing w:line="360" w:lineRule="auto"/>
        <w:ind w:firstLine="425"/>
        <w:rPr>
          <w:rFonts w:hint="eastAsia" w:ascii="仿宋" w:hAnsi="仿宋" w:eastAsia="仿宋" w:cs="仿宋"/>
          <w:sz w:val="24"/>
          <w:highlight w:val="none"/>
          <w:lang w:eastAsia="zh-CN"/>
        </w:rPr>
      </w:pPr>
      <w:r>
        <w:rPr>
          <w:rFonts w:hint="eastAsia" w:ascii="仿宋" w:hAnsi="仿宋" w:eastAsia="仿宋" w:cs="仿宋"/>
          <w:sz w:val="24"/>
          <w:highlight w:val="none"/>
        </w:rPr>
        <w:t>质保范围包含所有改造内容，包括但不限于</w:t>
      </w:r>
      <w:r>
        <w:rPr>
          <w:rFonts w:hint="eastAsia" w:ascii="仿宋" w:hAnsi="仿宋" w:eastAsia="仿宋" w:cs="仿宋"/>
          <w:sz w:val="24"/>
          <w:highlight w:val="none"/>
          <w:lang w:val="en-US" w:eastAsia="zh-CN"/>
        </w:rPr>
        <w:t>不锈钢板</w:t>
      </w:r>
      <w:r>
        <w:rPr>
          <w:rFonts w:hint="eastAsia" w:ascii="仿宋" w:hAnsi="仿宋" w:eastAsia="仿宋" w:cs="仿宋"/>
          <w:sz w:val="24"/>
          <w:highlight w:val="none"/>
        </w:rPr>
        <w:t>衬垫防渗性能、PVC</w:t>
      </w:r>
      <w:r>
        <w:rPr>
          <w:rFonts w:hint="eastAsia" w:ascii="仿宋" w:hAnsi="仿宋" w:eastAsia="仿宋" w:cs="仿宋"/>
          <w:sz w:val="24"/>
          <w:highlight w:val="none"/>
          <w:lang w:val="en-US" w:eastAsia="zh-CN"/>
        </w:rPr>
        <w:t>-U</w:t>
      </w:r>
      <w:r>
        <w:rPr>
          <w:rFonts w:hint="eastAsia" w:ascii="仿宋" w:hAnsi="仿宋" w:eastAsia="仿宋" w:cs="仿宋"/>
          <w:sz w:val="24"/>
          <w:highlight w:val="none"/>
        </w:rPr>
        <w:t>管及管件连接密封性、水泵及变频系统运行稳定性、消毒设备消毒效果、管道支架安装牢固性等，因施工或材料质量导致的问题均由供应商免费维修更换</w:t>
      </w:r>
      <w:r>
        <w:rPr>
          <w:rFonts w:hint="eastAsia" w:ascii="仿宋" w:hAnsi="仿宋" w:eastAsia="仿宋" w:cs="仿宋"/>
          <w:sz w:val="24"/>
          <w:highlight w:val="none"/>
          <w:lang w:eastAsia="zh-CN"/>
        </w:rPr>
        <w:t>。</w:t>
      </w:r>
    </w:p>
    <w:p w14:paraId="3ACFF075">
      <w:pPr>
        <w:pStyle w:val="31"/>
        <w:pageBreakBefore w:val="0"/>
        <w:widowControl w:val="0"/>
        <w:numPr>
          <w:ilvl w:val="1"/>
          <w:numId w:val="0"/>
        </w:numPr>
        <w:tabs>
          <w:tab w:val="left" w:pos="993"/>
        </w:tabs>
        <w:kinsoku/>
        <w:wordWrap/>
        <w:overflowPunct/>
        <w:topLinePunct w:val="0"/>
        <w:bidi w:val="0"/>
        <w:spacing w:line="360" w:lineRule="auto"/>
        <w:ind w:firstLine="425"/>
        <w:rPr>
          <w:rFonts w:hint="eastAsia" w:ascii="仿宋" w:hAnsi="仿宋" w:eastAsia="仿宋" w:cs="仿宋"/>
          <w:sz w:val="24"/>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.3保修执行要求</w:t>
      </w:r>
    </w:p>
    <w:p w14:paraId="372BB95E">
      <w:pPr>
        <w:pStyle w:val="31"/>
        <w:pageBreakBefore w:val="0"/>
        <w:widowControl w:val="0"/>
        <w:numPr>
          <w:ilvl w:val="1"/>
          <w:numId w:val="0"/>
        </w:numPr>
        <w:tabs>
          <w:tab w:val="left" w:pos="993"/>
        </w:tabs>
        <w:kinsoku/>
        <w:wordWrap/>
        <w:overflowPunct/>
        <w:topLinePunct w:val="0"/>
        <w:bidi w:val="0"/>
        <w:spacing w:line="360" w:lineRule="auto"/>
        <w:ind w:firstLine="425"/>
        <w:rPr>
          <w:rFonts w:hint="eastAsia" w:ascii="仿宋" w:hAnsi="仿宋" w:eastAsia="仿宋" w:cs="仿宋"/>
          <w:sz w:val="24"/>
          <w:highlight w:val="none"/>
        </w:rPr>
      </w:pPr>
      <w:r>
        <w:rPr>
          <w:rFonts w:hint="eastAsia" w:ascii="仿宋" w:hAnsi="仿宋" w:eastAsia="仿宋" w:cs="仿宋"/>
          <w:sz w:val="24"/>
          <w:highlight w:val="none"/>
        </w:rPr>
        <w:t>保修期内，因供应商原因造成工程缺陷、损坏的，供应商应负责无偿修复，并承担修复费用及因缺陷、损坏造成的人身伤害和财产损失；供应商拒绝维修、未在约定时间内维修，或维修后仍不符合要求的，采购人有权自行修复或委托第三方修复，所需全部费用由供应商承担，采购人可在质保金中直接扣除。</w:t>
      </w:r>
    </w:p>
    <w:p w14:paraId="4053BC33">
      <w:pPr>
        <w:pStyle w:val="31"/>
        <w:pageBreakBefore w:val="0"/>
        <w:widowControl w:val="0"/>
        <w:numPr>
          <w:ilvl w:val="1"/>
          <w:numId w:val="0"/>
        </w:numPr>
        <w:tabs>
          <w:tab w:val="left" w:pos="993"/>
        </w:tabs>
        <w:kinsoku/>
        <w:wordWrap/>
        <w:overflowPunct/>
        <w:topLinePunct w:val="0"/>
        <w:bidi w:val="0"/>
        <w:spacing w:line="360" w:lineRule="auto"/>
        <w:ind w:firstLine="425"/>
        <w:rPr>
          <w:rFonts w:hint="eastAsia" w:ascii="仿宋" w:hAnsi="仿宋" w:eastAsia="仿宋" w:cs="仿宋"/>
          <w:sz w:val="24"/>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.4修复后检测要求</w:t>
      </w:r>
    </w:p>
    <w:p w14:paraId="668A1034">
      <w:pPr>
        <w:pStyle w:val="31"/>
        <w:pageBreakBefore w:val="0"/>
        <w:widowControl w:val="0"/>
        <w:numPr>
          <w:ilvl w:val="1"/>
          <w:numId w:val="0"/>
        </w:numPr>
        <w:tabs>
          <w:tab w:val="left" w:pos="993"/>
        </w:tabs>
        <w:kinsoku/>
        <w:wordWrap/>
        <w:overflowPunct/>
        <w:topLinePunct w:val="0"/>
        <w:bidi w:val="0"/>
        <w:spacing w:line="360" w:lineRule="auto"/>
        <w:ind w:firstLine="425"/>
        <w:rPr>
          <w:rFonts w:hint="eastAsia" w:ascii="仿宋" w:hAnsi="仿宋" w:eastAsia="仿宋" w:cs="仿宋"/>
          <w:sz w:val="24"/>
          <w:highlight w:val="none"/>
        </w:rPr>
      </w:pPr>
      <w:r>
        <w:rPr>
          <w:rFonts w:hint="eastAsia" w:ascii="仿宋" w:hAnsi="仿宋" w:eastAsia="仿宋" w:cs="仿宋"/>
          <w:sz w:val="24"/>
          <w:highlight w:val="none"/>
        </w:rPr>
        <w:t>任何一项缺陷或损坏修复后，经检查影响使用的，供应商应重新进行试验和试运行，并提交检测合格报告，全部检测、调试费用由供应商承担。</w:t>
      </w:r>
    </w:p>
    <w:p w14:paraId="7E7E968F">
      <w:pPr>
        <w:pStyle w:val="31"/>
        <w:pageBreakBefore w:val="0"/>
        <w:widowControl w:val="0"/>
        <w:numPr>
          <w:ilvl w:val="1"/>
          <w:numId w:val="0"/>
        </w:numPr>
        <w:tabs>
          <w:tab w:val="left" w:pos="993"/>
        </w:tabs>
        <w:kinsoku/>
        <w:wordWrap/>
        <w:overflowPunct/>
        <w:topLinePunct w:val="0"/>
        <w:bidi w:val="0"/>
        <w:spacing w:line="360" w:lineRule="auto"/>
        <w:ind w:firstLine="425"/>
        <w:rPr>
          <w:rFonts w:hint="eastAsia" w:ascii="仿宋" w:hAnsi="仿宋" w:eastAsia="仿宋" w:cs="仿宋"/>
          <w:sz w:val="24"/>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.5缺陷责任期届满要求</w:t>
      </w:r>
    </w:p>
    <w:p w14:paraId="288B27BE">
      <w:pPr>
        <w:pStyle w:val="31"/>
        <w:pageBreakBefore w:val="0"/>
        <w:widowControl w:val="0"/>
        <w:numPr>
          <w:ilvl w:val="1"/>
          <w:numId w:val="0"/>
        </w:numPr>
        <w:tabs>
          <w:tab w:val="left" w:pos="993"/>
        </w:tabs>
        <w:kinsoku/>
        <w:wordWrap/>
        <w:overflowPunct/>
        <w:topLinePunct w:val="0"/>
        <w:bidi w:val="0"/>
        <w:spacing w:line="360" w:lineRule="auto"/>
        <w:ind w:firstLine="425"/>
        <w:rPr>
          <w:rFonts w:hint="eastAsia" w:ascii="仿宋" w:hAnsi="仿宋" w:eastAsia="仿宋" w:cs="仿宋"/>
          <w:sz w:val="24"/>
          <w:highlight w:val="none"/>
        </w:rPr>
      </w:pPr>
      <w:r>
        <w:rPr>
          <w:rFonts w:hint="eastAsia" w:ascii="仿宋" w:hAnsi="仿宋" w:eastAsia="仿宋" w:cs="仿宋"/>
          <w:sz w:val="24"/>
          <w:highlight w:val="none"/>
        </w:rPr>
        <w:t>缺陷责任期届满后7天内，供应商应主动向采购人发出缺陷责任期届满通知，采购人核实供应商缺陷修复义务履行情况，未按要求履行的，采购人有权扣除相应维修费用，剩余质保金无息返还。</w:t>
      </w:r>
    </w:p>
    <w:bookmarkEnd w:id="28"/>
    <w:bookmarkEnd w:id="29"/>
    <w:bookmarkEnd w:id="30"/>
    <w:bookmarkEnd w:id="31"/>
    <w:p w14:paraId="0DE72572">
      <w:pPr>
        <w:pStyle w:val="24"/>
        <w:numPr>
          <w:ilvl w:val="0"/>
          <w:numId w:val="0"/>
        </w:numPr>
        <w:spacing w:line="360" w:lineRule="auto"/>
        <w:ind w:left="0" w:leftChars="0" w:firstLine="0" w:firstLineChars="0"/>
        <w:rPr>
          <w:rFonts w:hint="eastAsia" w:ascii="仿宋" w:hAnsi="仿宋" w:eastAsia="仿宋" w:cs="仿宋"/>
          <w:b/>
          <w:bCs/>
          <w:kern w:val="0"/>
          <w:sz w:val="28"/>
          <w:szCs w:val="28"/>
          <w:highlight w:val="none"/>
          <w:lang w:val="zh-CN" w:eastAsia="zh-CN" w:bidi="ar-SA"/>
        </w:rPr>
      </w:pPr>
      <w:bookmarkStart w:id="32" w:name="_Toc981"/>
      <w:r>
        <w:rPr>
          <w:rFonts w:hint="eastAsia" w:ascii="仿宋" w:hAnsi="仿宋" w:eastAsia="仿宋" w:cs="仿宋"/>
          <w:b/>
          <w:bCs/>
          <w:kern w:val="0"/>
          <w:sz w:val="28"/>
          <w:szCs w:val="28"/>
          <w:highlight w:val="none"/>
          <w:lang w:val="en-US" w:eastAsia="zh-CN" w:bidi="ar-SA"/>
        </w:rPr>
        <w:t>5、</w:t>
      </w:r>
      <w:r>
        <w:rPr>
          <w:rFonts w:hint="eastAsia" w:ascii="仿宋" w:hAnsi="仿宋" w:eastAsia="仿宋" w:cs="仿宋"/>
          <w:b/>
          <w:bCs/>
          <w:kern w:val="0"/>
          <w:sz w:val="28"/>
          <w:szCs w:val="28"/>
          <w:highlight w:val="none"/>
          <w:lang w:val="zh-CN" w:eastAsia="zh-CN" w:bidi="ar-SA"/>
        </w:rPr>
        <w:t>违约责任</w:t>
      </w:r>
      <w:bookmarkEnd w:id="32"/>
    </w:p>
    <w:p w14:paraId="6F8DA285">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5.1关于设计部分：</w:t>
      </w:r>
    </w:p>
    <w:p w14:paraId="5633641D">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（1）</w:t>
      </w:r>
      <w:r>
        <w:rPr>
          <w:rFonts w:hint="eastAsia" w:ascii="仿宋" w:hAnsi="仿宋" w:eastAsia="仿宋" w:cs="仿宋"/>
          <w:bCs/>
          <w:sz w:val="24"/>
          <w:highlight w:val="none"/>
          <w:lang w:eastAsia="zh-CN"/>
        </w:rPr>
        <w:t>供应商未按合同约定或未按采购人确认的设计图纸/正式工程量清单施工的，采购人要求整改后仍未达标，第一次收取违约金1000元，第二次收取违约金3000元，第三次采购人有权单方终止合同、没收履约保证金，并追偿因此造成的全部损失。</w:t>
      </w:r>
    </w:p>
    <w:p w14:paraId="12FE5EB7">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5.2关于工程部分：</w:t>
      </w:r>
    </w:p>
    <w:p w14:paraId="6251681A">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（1）</w:t>
      </w:r>
      <w:r>
        <w:rPr>
          <w:rFonts w:hint="eastAsia" w:ascii="仿宋" w:hAnsi="仿宋" w:eastAsia="仿宋" w:cs="仿宋"/>
          <w:bCs/>
          <w:sz w:val="24"/>
          <w:highlight w:val="none"/>
          <w:lang w:eastAsia="zh-CN"/>
        </w:rPr>
        <w:t>成品保护责任：工程竣工验收前，供应商负责改造工程、设施的维护、保洁、安全工作，费用包含在成交总价中；成品出现破损、丢失的，由供应商自行承担维修费用及工期损失；发现供应商人员破坏、盗窃的，每次收取违约金10000元，并追溯相关法律责任。</w:t>
      </w:r>
    </w:p>
    <w:p w14:paraId="565E8AA3">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（2）</w:t>
      </w:r>
      <w:r>
        <w:rPr>
          <w:rFonts w:hint="eastAsia" w:ascii="仿宋" w:hAnsi="仿宋" w:eastAsia="仿宋" w:cs="仿宋"/>
          <w:bCs/>
          <w:sz w:val="24"/>
          <w:highlight w:val="none"/>
          <w:lang w:eastAsia="zh-CN"/>
        </w:rPr>
        <w:t>施工管控违约责任：施工期间因噪音、扬尘、强光等问题被投诉的，每次收取违约金500元；拒不整改的，采购人有权责令停工，工期不予顺延，停工损失由供应商自行承担；施工区域有效隔离的，每次收取违约金300元。</w:t>
      </w:r>
    </w:p>
    <w:p w14:paraId="066511BB">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5.3关于人员：</w:t>
      </w:r>
    </w:p>
    <w:p w14:paraId="15E18268">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（1）</w:t>
      </w:r>
      <w:r>
        <w:rPr>
          <w:rFonts w:hint="eastAsia" w:ascii="仿宋" w:hAnsi="仿宋" w:eastAsia="仿宋" w:cs="仿宋"/>
          <w:bCs/>
          <w:sz w:val="24"/>
          <w:highlight w:val="none"/>
          <w:lang w:eastAsia="zh-CN"/>
        </w:rPr>
        <w:t>项目拟投入的人员未按要求到位，或到位率未达合同约定的，按500元/人次/日收取违约金；累计2次未到位的，收取违约金标准提高至1000元/人次/日，以此类推；采购人将不定期现场核查人员到位情况，供应商需提交人员考勤记录。</w:t>
      </w:r>
    </w:p>
    <w:p w14:paraId="6983BCEB">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（2）</w:t>
      </w:r>
      <w:r>
        <w:rPr>
          <w:rFonts w:hint="eastAsia" w:ascii="仿宋" w:hAnsi="仿宋" w:eastAsia="仿宋" w:cs="仿宋"/>
          <w:bCs/>
          <w:sz w:val="24"/>
          <w:highlight w:val="none"/>
          <w:lang w:eastAsia="zh-CN"/>
        </w:rPr>
        <w:t>项目经理、</w:t>
      </w:r>
      <w:r>
        <w:rPr>
          <w:rFonts w:hint="eastAsia" w:ascii="仿宋" w:hAnsi="仿宋" w:eastAsia="仿宋" w:cs="仿宋"/>
          <w:bCs/>
          <w:sz w:val="24"/>
          <w:highlight w:val="none"/>
          <w:lang w:val="en-US" w:eastAsia="zh-CN"/>
        </w:rPr>
        <w:t>负责人</w:t>
      </w:r>
      <w:r>
        <w:rPr>
          <w:rFonts w:hint="eastAsia" w:ascii="仿宋" w:hAnsi="仿宋" w:eastAsia="仿宋" w:cs="仿宋"/>
          <w:bCs/>
          <w:sz w:val="24"/>
          <w:highlight w:val="none"/>
          <w:lang w:eastAsia="zh-CN"/>
        </w:rPr>
        <w:t>未经采购人书面同意擅自离岗的，第一次收取违约金500元，第二次收取违约金1000元，以此类推；擅自离岗累计3次的，采购人有权终止合同并没收履约保证金。</w:t>
      </w:r>
    </w:p>
    <w:p w14:paraId="73EAE198">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（3）</w:t>
      </w:r>
      <w:r>
        <w:rPr>
          <w:rFonts w:hint="eastAsia" w:ascii="仿宋" w:hAnsi="仿宋" w:eastAsia="仿宋" w:cs="仿宋"/>
          <w:bCs/>
          <w:sz w:val="24"/>
          <w:highlight w:val="none"/>
          <w:lang w:eastAsia="zh-CN"/>
        </w:rPr>
        <w:t>供应商更换施工现场管理人员、核心</w:t>
      </w:r>
      <w:r>
        <w:rPr>
          <w:rFonts w:hint="eastAsia" w:ascii="仿宋" w:hAnsi="仿宋" w:eastAsia="仿宋" w:cs="仿宋"/>
          <w:bCs/>
          <w:sz w:val="24"/>
          <w:highlight w:val="none"/>
          <w:lang w:val="en-US" w:eastAsia="zh-CN"/>
        </w:rPr>
        <w:t>施工</w:t>
      </w:r>
      <w:r>
        <w:rPr>
          <w:rFonts w:hint="eastAsia" w:ascii="仿宋" w:hAnsi="仿宋" w:eastAsia="仿宋" w:cs="仿宋"/>
          <w:bCs/>
          <w:sz w:val="24"/>
          <w:highlight w:val="none"/>
          <w:lang w:eastAsia="zh-CN"/>
        </w:rPr>
        <w:t>人员的，须提前</w:t>
      </w:r>
      <w:r>
        <w:rPr>
          <w:rFonts w:hint="eastAsia" w:ascii="仿宋" w:hAnsi="仿宋" w:eastAsia="仿宋" w:cs="仿宋"/>
          <w:bCs/>
          <w:sz w:val="24"/>
          <w:highlight w:val="none"/>
          <w:lang w:val="en-US" w:eastAsia="zh-CN"/>
        </w:rPr>
        <w:t>3</w:t>
      </w:r>
      <w:r>
        <w:rPr>
          <w:rFonts w:hint="eastAsia" w:ascii="仿宋" w:hAnsi="仿宋" w:eastAsia="仿宋" w:cs="仿宋"/>
          <w:bCs/>
          <w:sz w:val="24"/>
          <w:highlight w:val="none"/>
          <w:lang w:eastAsia="zh-CN"/>
        </w:rPr>
        <w:t>个工作日征求采购人书面同意，且更换后的人员资质不得低于原人员资质；未按要求执行的，每次收取违约金500元，采购人有权要求供应商更换回原人员。</w:t>
      </w:r>
    </w:p>
    <w:p w14:paraId="69CA7557">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5.4关于逾期：</w:t>
      </w:r>
    </w:p>
    <w:p w14:paraId="02A279D6">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（1）</w:t>
      </w:r>
      <w:r>
        <w:rPr>
          <w:rFonts w:hint="eastAsia" w:ascii="仿宋" w:hAnsi="仿宋" w:eastAsia="仿宋" w:cs="仿宋"/>
          <w:bCs/>
          <w:sz w:val="24"/>
          <w:highlight w:val="none"/>
          <w:lang w:eastAsia="zh-CN"/>
        </w:rPr>
        <w:t>因供应商自身原因造成施工工期延误的，按成交总价的每日万分之五计算逾期竣工违约金，违约金累计计算，最高不超过成交总价的10%；工期延误超过</w:t>
      </w:r>
      <w:r>
        <w:rPr>
          <w:rFonts w:hint="eastAsia" w:ascii="仿宋" w:hAnsi="仿宋" w:eastAsia="仿宋" w:cs="仿宋"/>
          <w:bCs/>
          <w:sz w:val="24"/>
          <w:highlight w:val="none"/>
          <w:lang w:val="en-US" w:eastAsia="zh-CN"/>
        </w:rPr>
        <w:t>7</w:t>
      </w:r>
      <w:r>
        <w:rPr>
          <w:rFonts w:hint="eastAsia" w:ascii="仿宋" w:hAnsi="仿宋" w:eastAsia="仿宋" w:cs="仿宋"/>
          <w:bCs/>
          <w:sz w:val="24"/>
          <w:highlight w:val="none"/>
          <w:lang w:eastAsia="zh-CN"/>
        </w:rPr>
        <w:t>天的，采购人有权终止合同、没收履约保证金，并要求供应商赔偿全部损失。</w:t>
      </w:r>
    </w:p>
    <w:p w14:paraId="6815873F">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5.5关于验收：</w:t>
      </w:r>
    </w:p>
    <w:p w14:paraId="71F6DF58">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（1）</w:t>
      </w:r>
      <w:r>
        <w:rPr>
          <w:rFonts w:hint="eastAsia" w:ascii="仿宋" w:hAnsi="仿宋" w:eastAsia="仿宋" w:cs="仿宋"/>
          <w:bCs/>
          <w:sz w:val="24"/>
          <w:highlight w:val="none"/>
          <w:lang w:eastAsia="zh-CN"/>
        </w:rPr>
        <w:t>工程竣工后</w:t>
      </w:r>
      <w:r>
        <w:rPr>
          <w:rFonts w:hint="eastAsia" w:ascii="仿宋" w:hAnsi="仿宋" w:eastAsia="仿宋" w:cs="仿宋"/>
          <w:bCs/>
          <w:sz w:val="24"/>
          <w:highlight w:val="none"/>
          <w:lang w:val="en-US" w:eastAsia="zh-CN"/>
        </w:rPr>
        <w:t>7</w:t>
      </w:r>
      <w:r>
        <w:rPr>
          <w:rFonts w:hint="eastAsia" w:ascii="仿宋" w:hAnsi="仿宋" w:eastAsia="仿宋" w:cs="仿宋"/>
          <w:bCs/>
          <w:sz w:val="24"/>
          <w:highlight w:val="none"/>
          <w:lang w:eastAsia="zh-CN"/>
        </w:rPr>
        <w:t>日内，供应商未将完整的工程结算资料报送采购人初审的，每逾期1天按成交总价的万分之一收取违约金，违约金累计计算，最高不超过成交总价的10%；因结算资料不全导致结算延误的，由供应商承担全部责任。</w:t>
      </w:r>
    </w:p>
    <w:p w14:paraId="16E55F72">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（2）</w:t>
      </w:r>
      <w:r>
        <w:rPr>
          <w:rFonts w:hint="eastAsia" w:ascii="仿宋" w:hAnsi="仿宋" w:eastAsia="仿宋" w:cs="仿宋"/>
          <w:bCs/>
          <w:sz w:val="24"/>
          <w:highlight w:val="none"/>
          <w:lang w:eastAsia="zh-CN"/>
        </w:rPr>
        <w:t>验收后整改仍达不到验收规范及合同要求的，供应商须向采购人支付不合格工作范围对应成交总价比例的违约金；采购人有权委托第三方完成整改工作，发生的所有费用及损失均由供应商承担，采购人可在工程款中直接扣除。</w:t>
      </w:r>
    </w:p>
    <w:p w14:paraId="0FC47552">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5.6其他要求：</w:t>
      </w:r>
    </w:p>
    <w:p w14:paraId="4DBE9483">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（1）</w:t>
      </w:r>
      <w:r>
        <w:rPr>
          <w:rFonts w:hint="eastAsia" w:ascii="仿宋" w:hAnsi="仿宋" w:eastAsia="仿宋" w:cs="仿宋"/>
          <w:bCs/>
          <w:sz w:val="24"/>
          <w:highlight w:val="none"/>
          <w:lang w:eastAsia="zh-CN"/>
        </w:rPr>
        <w:t>供应商擅自转包本项目，采购人有权立即终止合同、没收履约保证金，并要求供应商赔偿采购人的全部损失；</w:t>
      </w:r>
      <w:r>
        <w:rPr>
          <w:rFonts w:hint="eastAsia" w:ascii="仿宋" w:hAnsi="仿宋" w:eastAsia="仿宋" w:cs="仿宋"/>
          <w:bCs/>
          <w:sz w:val="24"/>
          <w:highlight w:val="none"/>
          <w:lang w:val="en-US" w:eastAsia="zh-CN"/>
        </w:rPr>
        <w:t>允许部分</w:t>
      </w:r>
      <w:r>
        <w:rPr>
          <w:rFonts w:hint="eastAsia" w:ascii="仿宋" w:hAnsi="仿宋" w:eastAsia="仿宋" w:cs="仿宋"/>
          <w:bCs/>
          <w:sz w:val="24"/>
          <w:highlight w:val="none"/>
          <w:lang w:eastAsia="zh-CN"/>
        </w:rPr>
        <w:t>工作分包的，供应商需提前向采购人备案分包单位资质，且对分包单位全程负责。</w:t>
      </w:r>
    </w:p>
    <w:p w14:paraId="66CE71A9">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（2）</w:t>
      </w:r>
      <w:r>
        <w:rPr>
          <w:rFonts w:hint="eastAsia" w:ascii="仿宋" w:hAnsi="仿宋" w:eastAsia="仿宋" w:cs="仿宋"/>
          <w:bCs/>
          <w:sz w:val="24"/>
          <w:highlight w:val="none"/>
          <w:lang w:eastAsia="zh-CN"/>
        </w:rPr>
        <w:t>供应商未按约定缴纳履约保证金的，合同不生效，采购人有权取消其成交资格；供应商未按约定履行合同义务的，采购人有权从履约保证金中扣除相应违约金，违约金不足的，有权向供应商追偿。</w:t>
      </w:r>
    </w:p>
    <w:p w14:paraId="675CC015">
      <w:pPr>
        <w:pStyle w:val="24"/>
        <w:numPr>
          <w:ilvl w:val="0"/>
          <w:numId w:val="0"/>
        </w:numPr>
        <w:spacing w:line="360" w:lineRule="auto"/>
        <w:ind w:left="0" w:leftChars="0" w:firstLine="0" w:firstLineChars="0"/>
        <w:rPr>
          <w:rFonts w:hint="eastAsia" w:ascii="仿宋" w:hAnsi="仿宋" w:eastAsia="仿宋" w:cs="仿宋"/>
          <w:b/>
          <w:bCs/>
          <w:kern w:val="0"/>
          <w:sz w:val="28"/>
          <w:szCs w:val="28"/>
          <w:highlight w:val="none"/>
          <w:lang w:val="en-US" w:eastAsia="zh-CN" w:bidi="ar-SA"/>
        </w:rPr>
      </w:pPr>
      <w:bookmarkStart w:id="33" w:name="_Toc144115625"/>
      <w:bookmarkStart w:id="34" w:name="_Toc91677267"/>
      <w:bookmarkStart w:id="35" w:name="_Toc151373545"/>
      <w:r>
        <w:rPr>
          <w:rFonts w:hint="eastAsia" w:ascii="仿宋" w:hAnsi="仿宋" w:eastAsia="仿宋" w:cs="仿宋"/>
          <w:b/>
          <w:bCs/>
          <w:kern w:val="0"/>
          <w:sz w:val="28"/>
          <w:szCs w:val="28"/>
          <w:highlight w:val="none"/>
          <w:lang w:val="en-US" w:eastAsia="zh-CN" w:bidi="ar-SA"/>
        </w:rPr>
        <w:t>6、风险承担与责任认定机制</w:t>
      </w:r>
      <w:bookmarkEnd w:id="33"/>
      <w:bookmarkEnd w:id="34"/>
      <w:bookmarkEnd w:id="35"/>
    </w:p>
    <w:p w14:paraId="16A67A4C">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6</w:t>
      </w:r>
      <w:r>
        <w:rPr>
          <w:rFonts w:hint="eastAsia" w:ascii="仿宋" w:hAnsi="仿宋" w:eastAsia="仿宋" w:cs="仿宋"/>
          <w:bCs/>
          <w:sz w:val="24"/>
          <w:highlight w:val="none"/>
          <w:lang w:eastAsia="zh-CN"/>
        </w:rPr>
        <w:t>.1供应商须为现场所有作业人员购买建筑工程一切险、第三者责任险、安全生产责任险、施工人员意外伤害险，保险期限覆盖施工全周期，保险凭证须在进场施工前提交采购人备案，保险费用由供应商承担；保险期限不足或未购买保险的，采购人有权责令停工，直至保险办理完毕。</w:t>
      </w:r>
    </w:p>
    <w:p w14:paraId="3EE07C83">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6</w:t>
      </w:r>
      <w:r>
        <w:rPr>
          <w:rFonts w:hint="eastAsia" w:ascii="仿宋" w:hAnsi="仿宋" w:eastAsia="仿宋" w:cs="仿宋"/>
          <w:bCs/>
          <w:sz w:val="24"/>
          <w:highlight w:val="none"/>
          <w:lang w:eastAsia="zh-CN"/>
        </w:rPr>
        <w:t>.2供应商的现场作业人员发生工伤的，工伤风险及所有赔偿由供应商自行承担；因意外事故、作业安全问题（如触电、高空坠落、材料坠落）引发的第三方人身伤亡和财产损失，由供应商承担全部赔偿责任。</w:t>
      </w:r>
    </w:p>
    <w:p w14:paraId="191B6CF6">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6</w:t>
      </w:r>
      <w:r>
        <w:rPr>
          <w:rFonts w:hint="eastAsia" w:ascii="仿宋" w:hAnsi="仿宋" w:eastAsia="仿宋" w:cs="仿宋"/>
          <w:bCs/>
          <w:sz w:val="24"/>
          <w:highlight w:val="none"/>
          <w:lang w:eastAsia="zh-CN"/>
        </w:rPr>
        <w:t>.3施工期间的临时用水、用电由供应商自行从采购人指定的水电接口接入，独立安装水、电表，费用由供应商按市政收费标准自行缴纳；因未按时缴费造成停水、停电影响施工的，工期不予顺延，产生的所有损失由供应商自行承担。</w:t>
      </w:r>
    </w:p>
    <w:p w14:paraId="62DC0509">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6</w:t>
      </w:r>
      <w:r>
        <w:rPr>
          <w:rFonts w:hint="eastAsia" w:ascii="仿宋" w:hAnsi="仿宋" w:eastAsia="仿宋" w:cs="仿宋"/>
          <w:bCs/>
          <w:sz w:val="24"/>
          <w:highlight w:val="none"/>
          <w:lang w:eastAsia="zh-CN"/>
        </w:rPr>
        <w:t>.4核心主材的型式检验报告、专项检测报告等所有检测费用，均包含在供应商成交总价中，采购人不另行支付；供应商未按要求提供检测报告的，采购人有权拒绝验收。</w:t>
      </w:r>
    </w:p>
    <w:p w14:paraId="7D19D5F0">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6</w:t>
      </w: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5</w:t>
      </w:r>
      <w:r>
        <w:rPr>
          <w:rFonts w:hint="eastAsia" w:ascii="仿宋" w:hAnsi="仿宋" w:eastAsia="仿宋" w:cs="仿宋"/>
          <w:bCs/>
          <w:sz w:val="24"/>
          <w:highlight w:val="none"/>
          <w:lang w:eastAsia="zh-CN"/>
        </w:rPr>
        <w:t>施工期间，供应商需严格服从</w:t>
      </w:r>
      <w:r>
        <w:rPr>
          <w:rFonts w:hint="eastAsia" w:ascii="仿宋" w:hAnsi="仿宋" w:eastAsia="仿宋" w:cs="仿宋"/>
          <w:bCs/>
          <w:sz w:val="24"/>
          <w:highlight w:val="none"/>
          <w:lang w:val="en-US" w:eastAsia="zh-CN"/>
        </w:rPr>
        <w:t>采购人</w:t>
      </w:r>
      <w:r>
        <w:rPr>
          <w:rFonts w:hint="eastAsia" w:ascii="仿宋" w:hAnsi="仿宋" w:eastAsia="仿宋" w:cs="仿宋"/>
          <w:bCs/>
          <w:sz w:val="24"/>
          <w:highlight w:val="none"/>
          <w:lang w:eastAsia="zh-CN"/>
        </w:rPr>
        <w:t>及当地政府、城建、环卫、交通、公安部门的管理规定，自行办理施工所需临时用地、占道、夜间施工等相关手续并承担全部费用；因未按规定执行造成的行政处罚、停工损失，由供应商自行承担。</w:t>
      </w:r>
    </w:p>
    <w:p w14:paraId="4683D3B3">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6</w:t>
      </w: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6</w:t>
      </w:r>
      <w:r>
        <w:rPr>
          <w:rFonts w:hint="eastAsia" w:ascii="仿宋" w:hAnsi="仿宋" w:eastAsia="仿宋" w:cs="仿宋"/>
          <w:bCs/>
          <w:sz w:val="24"/>
          <w:highlight w:val="none"/>
          <w:lang w:eastAsia="zh-CN"/>
        </w:rPr>
        <w:t>供应商已充分踏勘施工现场，熟悉施工环境及项目需求，须结合采购人清单及现场实际情况编制投标报价，成交后不得因清单与现场实际情况存在差异、施工时段限制等原因，提出任何造价调整、工期顺延要求。</w:t>
      </w:r>
    </w:p>
    <w:p w14:paraId="2D0B8F56">
      <w:pPr>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6</w:t>
      </w: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7</w:t>
      </w:r>
      <w:r>
        <w:rPr>
          <w:rFonts w:hint="eastAsia" w:ascii="仿宋" w:hAnsi="仿宋" w:eastAsia="仿宋" w:cs="仿宋"/>
          <w:bCs/>
          <w:sz w:val="24"/>
          <w:highlight w:val="none"/>
          <w:lang w:eastAsia="zh-CN"/>
        </w:rPr>
        <w:t>工程竣工验收前，因不可抗力、第三方原因造成工程损坏的，供应商应配合采购人进行修复，修复费用按责任划分承担；工程竣工验收合格后，工程损坏的修复责任按保修条款执行。</w:t>
      </w:r>
    </w:p>
    <w:p w14:paraId="09D6ED38">
      <w:pPr>
        <w:pStyle w:val="15"/>
        <w:pageBreakBefore w:val="0"/>
        <w:widowControl w:val="0"/>
        <w:kinsoku/>
        <w:wordWrap/>
        <w:overflowPunct/>
        <w:topLinePunct w:val="0"/>
        <w:autoSpaceDE/>
        <w:autoSpaceDN/>
        <w:bidi w:val="0"/>
        <w:adjustRightInd/>
        <w:snapToGrid/>
        <w:spacing w:before="75" w:beforeAutospacing="0" w:after="75" w:afterAutospacing="0" w:line="360" w:lineRule="auto"/>
        <w:textAlignment w:val="auto"/>
        <w:outlineLvl w:val="1"/>
        <w:rPr>
          <w:rFonts w:hint="eastAsia" w:ascii="仿宋" w:hAnsi="仿宋" w:eastAsia="仿宋" w:cs="仿宋"/>
          <w:b/>
          <w:bCs/>
          <w:sz w:val="28"/>
          <w:szCs w:val="32"/>
          <w:highlight w:val="none"/>
        </w:rPr>
      </w:pPr>
      <w:bookmarkStart w:id="36" w:name="_Toc8539"/>
      <w:r>
        <w:rPr>
          <w:rFonts w:hint="eastAsia" w:ascii="仿宋" w:hAnsi="仿宋" w:eastAsia="仿宋" w:cs="仿宋"/>
          <w:b/>
          <w:bCs/>
          <w:sz w:val="28"/>
          <w:szCs w:val="32"/>
          <w:highlight w:val="none"/>
        </w:rPr>
        <w:t>四、其他事项</w:t>
      </w:r>
      <w:bookmarkEnd w:id="36"/>
    </w:p>
    <w:p w14:paraId="28664EB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1、除磋商文件另有规定外，若出现有关法律、法规和规章有强制性规定但磋商文件未列明的情形，则供应商应按照有关法律、法规和规章强制性规定执行。</w:t>
      </w:r>
    </w:p>
    <w:p w14:paraId="4CDE930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rPr>
        <w:t>2、其他：</w:t>
      </w:r>
      <w:r>
        <w:rPr>
          <w:rFonts w:hint="eastAsia" w:ascii="仿宋" w:hAnsi="仿宋" w:eastAsia="仿宋" w:cs="仿宋"/>
          <w:kern w:val="0"/>
          <w:sz w:val="24"/>
          <w:highlight w:val="none"/>
          <w:lang w:val="en-US" w:eastAsia="zh-CN"/>
        </w:rPr>
        <w:t>/</w:t>
      </w:r>
    </w:p>
    <w:p w14:paraId="63CD1F2F">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p>
    <w:p w14:paraId="6D5FDD38">
      <w:pPr>
        <w:pStyle w:val="4"/>
        <w:pageBreakBefore w:val="0"/>
        <w:widowControl w:val="0"/>
        <w:kinsoku/>
        <w:wordWrap/>
        <w:overflowPunct/>
        <w:topLinePunct w:val="0"/>
        <w:autoSpaceDE/>
        <w:autoSpaceDN/>
        <w:bidi w:val="0"/>
        <w:adjustRightInd/>
        <w:snapToGrid/>
        <w:spacing w:before="312" w:after="312" w:line="360" w:lineRule="auto"/>
        <w:textAlignment w:val="auto"/>
        <w:rPr>
          <w:rFonts w:hint="eastAsia" w:ascii="仿宋" w:hAnsi="仿宋" w:eastAsia="仿宋" w:cs="仿宋"/>
          <w:highlight w:val="none"/>
        </w:rPr>
        <w:sectPr>
          <w:pgSz w:w="11906" w:h="16838"/>
          <w:pgMar w:top="1440" w:right="1080" w:bottom="1440" w:left="1080" w:header="851" w:footer="992" w:gutter="0"/>
          <w:cols w:space="0" w:num="1"/>
          <w:docGrid w:type="lines" w:linePitch="312" w:charSpace="0"/>
        </w:sectPr>
      </w:pPr>
    </w:p>
    <w:p w14:paraId="71D11312">
      <w:pPr>
        <w:pStyle w:val="4"/>
        <w:pageBreakBefore w:val="0"/>
        <w:widowControl w:val="0"/>
        <w:kinsoku/>
        <w:wordWrap/>
        <w:overflowPunct/>
        <w:topLinePunct w:val="0"/>
        <w:autoSpaceDE/>
        <w:autoSpaceDN/>
        <w:bidi w:val="0"/>
        <w:adjustRightInd/>
        <w:snapToGrid/>
        <w:spacing w:before="312" w:after="312" w:line="360" w:lineRule="auto"/>
        <w:textAlignment w:val="auto"/>
        <w:rPr>
          <w:rFonts w:hint="eastAsia" w:ascii="仿宋" w:hAnsi="仿宋" w:eastAsia="仿宋" w:cs="仿宋"/>
          <w:highlight w:val="none"/>
        </w:rPr>
      </w:pPr>
      <w:bookmarkStart w:id="37" w:name="_Toc723"/>
      <w:r>
        <w:rPr>
          <w:rFonts w:hint="eastAsia" w:ascii="仿宋" w:hAnsi="仿宋" w:eastAsia="仿宋" w:cs="仿宋"/>
          <w:highlight w:val="none"/>
        </w:rPr>
        <w:t>第四章  合同主要条款及格式</w:t>
      </w:r>
      <w:bookmarkEnd w:id="37"/>
    </w:p>
    <w:p w14:paraId="4332E8CB">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编制说明</w:t>
      </w:r>
    </w:p>
    <w:p w14:paraId="223B8129">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1、签订合同应遵守《中华人民共和国政府采购法》、《中华人民共和国民法典》。</w:t>
      </w:r>
    </w:p>
    <w:p w14:paraId="3B5FEA7C">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2、签订合同时，采购人与成交供应商应结合磋商文件第四章规定填列相应内容。如果双方使用磋商文件第四章已有规定的条款及格式，双方均不得对规定进行变更或调整；磋商文件第四章未作规定的条款及格式，双方可通过友好协商进行约定。</w:t>
      </w:r>
    </w:p>
    <w:p w14:paraId="49440E94">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3.本章节所附的合同主要条款及格式为参考文本，如果因为项目实际特点不能适用，则可由甲乙双方在合同签订阶段可通过友好协商进行约定。</w:t>
      </w:r>
    </w:p>
    <w:p w14:paraId="24CDF2D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p>
    <w:p w14:paraId="2998954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甲方：</w:t>
      </w:r>
    </w:p>
    <w:p w14:paraId="608EF2A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乙方：</w:t>
      </w:r>
    </w:p>
    <w:p w14:paraId="78FC211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6944FCA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根据项目编号为</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的</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项目（以下简称：“本项目”）的磋商结果，乙方为成交供应商。现经甲乙双方友好协商，就以下事项达成一致并签订本合同：</w:t>
      </w:r>
    </w:p>
    <w:p w14:paraId="298B34F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1、下列合同文件是构成本合同不可分割的部分：</w:t>
      </w:r>
    </w:p>
    <w:p w14:paraId="3838FFF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1.1合同条款；</w:t>
      </w:r>
    </w:p>
    <w:p w14:paraId="6EB90BF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1.2磋商文件、乙方的响应文件；</w:t>
      </w:r>
    </w:p>
    <w:p w14:paraId="61A0117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1.3其他文件或材料：□无。□（若有联合协议或分包意向协议）。</w:t>
      </w:r>
    </w:p>
    <w:p w14:paraId="742735E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2、合同标的</w:t>
      </w:r>
    </w:p>
    <w:p w14:paraId="06F487C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u w:val="single"/>
        </w:rPr>
        <w:t>（按照实际情况编制填写，可以是表格或文字描述）</w:t>
      </w:r>
      <w:r>
        <w:rPr>
          <w:rFonts w:hint="eastAsia" w:ascii="仿宋" w:hAnsi="仿宋" w:eastAsia="仿宋" w:cs="仿宋"/>
          <w:kern w:val="0"/>
          <w:sz w:val="24"/>
          <w:highlight w:val="none"/>
        </w:rPr>
        <w:t>。</w:t>
      </w:r>
    </w:p>
    <w:p w14:paraId="771561D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3、合同总金额</w:t>
      </w:r>
    </w:p>
    <w:p w14:paraId="0CD9B5E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3.1合同总金额为人民币大写：元（￥）。</w:t>
      </w:r>
    </w:p>
    <w:p w14:paraId="382B94E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4、合同标的交付时间、地点和条件</w:t>
      </w:r>
    </w:p>
    <w:p w14:paraId="79F2E88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4.1交付时间：；</w:t>
      </w:r>
    </w:p>
    <w:p w14:paraId="18F749D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4.2交付地点：；</w:t>
      </w:r>
    </w:p>
    <w:p w14:paraId="7445EEF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4.3交付条件：。</w:t>
      </w:r>
    </w:p>
    <w:p w14:paraId="135B16C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5、合同标的应符合磋商文件、乙方响应文件的规定或约定，具体如下：</w:t>
      </w:r>
    </w:p>
    <w:p w14:paraId="1F2CB22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u w:val="single"/>
        </w:rPr>
        <w:t>（按照实际情况编制填写，可以是表格或文字描述）</w:t>
      </w:r>
      <w:r>
        <w:rPr>
          <w:rFonts w:hint="eastAsia" w:ascii="仿宋" w:hAnsi="仿宋" w:eastAsia="仿宋" w:cs="仿宋"/>
          <w:kern w:val="0"/>
          <w:sz w:val="24"/>
          <w:highlight w:val="none"/>
        </w:rPr>
        <w:t>。</w:t>
      </w:r>
    </w:p>
    <w:p w14:paraId="39EFF29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6、验收</w:t>
      </w:r>
    </w:p>
    <w:p w14:paraId="03B9363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6.1验收应按照磋商文件、乙方响应文件的规定或约定进行，具体如下：</w:t>
      </w:r>
    </w:p>
    <w:p w14:paraId="36337DC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u w:val="single"/>
        </w:rPr>
        <w:t>（按照实际情况编制填写，可以是表格或文字描述）</w:t>
      </w:r>
      <w:r>
        <w:rPr>
          <w:rFonts w:hint="eastAsia" w:ascii="仿宋" w:hAnsi="仿宋" w:eastAsia="仿宋" w:cs="仿宋"/>
          <w:kern w:val="0"/>
          <w:sz w:val="24"/>
          <w:highlight w:val="none"/>
        </w:rPr>
        <w:t>。</w:t>
      </w:r>
    </w:p>
    <w:p w14:paraId="1EFC8EF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6.2本项目是否邀请其他供应商参与验收：</w:t>
      </w:r>
    </w:p>
    <w:p w14:paraId="6FDA390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□不邀请。□邀请，具体如下：</w:t>
      </w:r>
      <w:r>
        <w:rPr>
          <w:rFonts w:hint="eastAsia" w:ascii="仿宋" w:hAnsi="仿宋" w:eastAsia="仿宋" w:cs="仿宋"/>
          <w:kern w:val="0"/>
          <w:sz w:val="24"/>
          <w:highlight w:val="none"/>
          <w:u w:val="single"/>
        </w:rPr>
        <w:t>（按照磋商文件规定填写）</w:t>
      </w:r>
      <w:r>
        <w:rPr>
          <w:rFonts w:hint="eastAsia" w:ascii="仿宋" w:hAnsi="仿宋" w:eastAsia="仿宋" w:cs="仿宋"/>
          <w:kern w:val="0"/>
          <w:sz w:val="24"/>
          <w:highlight w:val="none"/>
        </w:rPr>
        <w:t>。</w:t>
      </w:r>
    </w:p>
    <w:p w14:paraId="18720B3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7、合同款项的支付应按照磋商文件的规定进行，具体如下：</w:t>
      </w:r>
    </w:p>
    <w:p w14:paraId="1A2D85D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u w:val="single"/>
        </w:rPr>
        <w:t>（按照实际情况编制填写，可以是表格或文字描述，包括一次性支付或分期支付等）</w:t>
      </w:r>
      <w:r>
        <w:rPr>
          <w:rFonts w:hint="eastAsia" w:ascii="仿宋" w:hAnsi="仿宋" w:eastAsia="仿宋" w:cs="仿宋"/>
          <w:kern w:val="0"/>
          <w:sz w:val="24"/>
          <w:highlight w:val="none"/>
        </w:rPr>
        <w:t>。</w:t>
      </w:r>
    </w:p>
    <w:p w14:paraId="75033B9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8、履约保证金</w:t>
      </w:r>
    </w:p>
    <w:p w14:paraId="31B6D6B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□无。□有，具体如下：</w:t>
      </w:r>
      <w:r>
        <w:rPr>
          <w:rFonts w:hint="eastAsia" w:ascii="仿宋" w:hAnsi="仿宋" w:eastAsia="仿宋" w:cs="仿宋"/>
          <w:kern w:val="0"/>
          <w:sz w:val="24"/>
          <w:highlight w:val="none"/>
          <w:u w:val="single"/>
        </w:rPr>
        <w:t>（按照磋商文件规定填写）</w:t>
      </w:r>
      <w:r>
        <w:rPr>
          <w:rFonts w:hint="eastAsia" w:ascii="仿宋" w:hAnsi="仿宋" w:eastAsia="仿宋" w:cs="仿宋"/>
          <w:kern w:val="0"/>
          <w:sz w:val="24"/>
          <w:highlight w:val="none"/>
        </w:rPr>
        <w:t>。</w:t>
      </w:r>
    </w:p>
    <w:p w14:paraId="25ADE7B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9、合同有效期</w:t>
      </w:r>
    </w:p>
    <w:p w14:paraId="46C4C45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u w:val="single"/>
        </w:rPr>
        <w:t>（按照实际情况编制填写，可以是表格或文字描述）</w:t>
      </w:r>
      <w:r>
        <w:rPr>
          <w:rFonts w:hint="eastAsia" w:ascii="仿宋" w:hAnsi="仿宋" w:eastAsia="仿宋" w:cs="仿宋"/>
          <w:kern w:val="0"/>
          <w:sz w:val="24"/>
          <w:highlight w:val="none"/>
        </w:rPr>
        <w:t>。</w:t>
      </w:r>
    </w:p>
    <w:p w14:paraId="16EA169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10、违约责任</w:t>
      </w:r>
    </w:p>
    <w:p w14:paraId="201A8D0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u w:val="single"/>
        </w:rPr>
        <w:t>（按照实际情况编制填写，可以是表格或文字描述）</w:t>
      </w:r>
      <w:r>
        <w:rPr>
          <w:rFonts w:hint="eastAsia" w:ascii="仿宋" w:hAnsi="仿宋" w:eastAsia="仿宋" w:cs="仿宋"/>
          <w:kern w:val="0"/>
          <w:sz w:val="24"/>
          <w:highlight w:val="none"/>
        </w:rPr>
        <w:t>。</w:t>
      </w:r>
    </w:p>
    <w:p w14:paraId="674BB23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11、知识产权</w:t>
      </w:r>
    </w:p>
    <w:p w14:paraId="1286C14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14:paraId="7D72F5D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11.2若乙方提供的采购标的不符合国家知识产权法律、法规的规定或被有关主管机关认定为假冒伪劣品，则乙方</w:t>
      </w:r>
      <w:r>
        <w:rPr>
          <w:rFonts w:hint="eastAsia" w:ascii="仿宋" w:hAnsi="仿宋" w:eastAsia="仿宋" w:cs="仿宋"/>
          <w:kern w:val="0"/>
          <w:sz w:val="24"/>
          <w:highlight w:val="none"/>
          <w:lang w:eastAsia="zh-CN"/>
        </w:rPr>
        <w:t>成交</w:t>
      </w:r>
      <w:r>
        <w:rPr>
          <w:rFonts w:hint="eastAsia" w:ascii="仿宋" w:hAnsi="仿宋" w:eastAsia="仿宋" w:cs="仿宋"/>
          <w:kern w:val="0"/>
          <w:sz w:val="24"/>
          <w:highlight w:val="none"/>
        </w:rPr>
        <w:t>资格将被取消；甲方还将按照有关法律、法规和规章的规定进行处理，具体如下：</w:t>
      </w:r>
      <w:r>
        <w:rPr>
          <w:rFonts w:hint="eastAsia" w:ascii="仿宋" w:hAnsi="仿宋" w:eastAsia="仿宋" w:cs="仿宋"/>
          <w:kern w:val="0"/>
          <w:sz w:val="24"/>
          <w:highlight w:val="none"/>
          <w:u w:val="single"/>
        </w:rPr>
        <w:t>（按照实际情况编制填写）</w:t>
      </w:r>
      <w:r>
        <w:rPr>
          <w:rFonts w:hint="eastAsia" w:ascii="仿宋" w:hAnsi="仿宋" w:eastAsia="仿宋" w:cs="仿宋"/>
          <w:kern w:val="0"/>
          <w:sz w:val="24"/>
          <w:highlight w:val="none"/>
        </w:rPr>
        <w:t>。</w:t>
      </w:r>
    </w:p>
    <w:p w14:paraId="1E74A64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12、解决争议的方法</w:t>
      </w:r>
    </w:p>
    <w:p w14:paraId="42CDA66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12.1甲、乙双方协商解决。</w:t>
      </w:r>
    </w:p>
    <w:p w14:paraId="393011B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12.2若协商解决不成，则通过下列途径之一解决：</w:t>
      </w:r>
    </w:p>
    <w:p w14:paraId="25B02A9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□提交仲裁委员会仲裁，具体如下：</w:t>
      </w:r>
      <w:r>
        <w:rPr>
          <w:rFonts w:hint="eastAsia" w:ascii="仿宋" w:hAnsi="仿宋" w:eastAsia="仿宋" w:cs="仿宋"/>
          <w:kern w:val="0"/>
          <w:sz w:val="24"/>
          <w:highlight w:val="none"/>
          <w:u w:val="single"/>
        </w:rPr>
        <w:t>（按照实际情况编制填写）</w:t>
      </w:r>
      <w:r>
        <w:rPr>
          <w:rFonts w:hint="eastAsia" w:ascii="仿宋" w:hAnsi="仿宋" w:eastAsia="仿宋" w:cs="仿宋"/>
          <w:kern w:val="0"/>
          <w:sz w:val="24"/>
          <w:highlight w:val="none"/>
        </w:rPr>
        <w:t>。</w:t>
      </w:r>
    </w:p>
    <w:p w14:paraId="1B8BAA3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□向人民法院提起诉讼，具体如下：</w:t>
      </w:r>
      <w:r>
        <w:rPr>
          <w:rFonts w:hint="eastAsia" w:ascii="仿宋" w:hAnsi="仿宋" w:eastAsia="仿宋" w:cs="仿宋"/>
          <w:kern w:val="0"/>
          <w:sz w:val="24"/>
          <w:highlight w:val="none"/>
          <w:u w:val="single"/>
        </w:rPr>
        <w:t>（按照实际情况编制填写）</w:t>
      </w:r>
      <w:r>
        <w:rPr>
          <w:rFonts w:hint="eastAsia" w:ascii="仿宋" w:hAnsi="仿宋" w:eastAsia="仿宋" w:cs="仿宋"/>
          <w:kern w:val="0"/>
          <w:sz w:val="24"/>
          <w:highlight w:val="none"/>
        </w:rPr>
        <w:t>。</w:t>
      </w:r>
    </w:p>
    <w:p w14:paraId="4B12DF0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13、不可抗力</w:t>
      </w:r>
    </w:p>
    <w:p w14:paraId="6A7BC2D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14:paraId="6C8977B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13.2本合同中的不可抗力指不能预见、不能避免、不能克服的客观情况，包括但不限于：自然灾害如地震、台风、洪水、火灾及政府行为、法律规定或其适用的变化或其他任何无法预见、避免或控制的事件。</w:t>
      </w:r>
    </w:p>
    <w:p w14:paraId="3DEFB9D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14、合同条款</w:t>
      </w:r>
    </w:p>
    <w:p w14:paraId="3C7ABC0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u w:val="single"/>
        </w:rPr>
        <w:t>（按照实际情况编制填写。）</w:t>
      </w:r>
      <w:r>
        <w:rPr>
          <w:rFonts w:hint="eastAsia" w:ascii="仿宋" w:hAnsi="仿宋" w:eastAsia="仿宋" w:cs="仿宋"/>
          <w:kern w:val="0"/>
          <w:sz w:val="24"/>
          <w:highlight w:val="none"/>
        </w:rPr>
        <w:t>。</w:t>
      </w:r>
    </w:p>
    <w:p w14:paraId="1F7E2E0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15、其他约定</w:t>
      </w:r>
    </w:p>
    <w:p w14:paraId="2CBCD0B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15.1合同文件与本合同具有同等法律效力。</w:t>
      </w:r>
    </w:p>
    <w:p w14:paraId="0F5A91B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15.2本合同未尽事宜，双方可另行补充。</w:t>
      </w:r>
    </w:p>
    <w:p w14:paraId="707B9EE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15.3本合同自签订之日起生效。</w:t>
      </w:r>
    </w:p>
    <w:p w14:paraId="62D1DB7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15.4本合同一式</w:t>
      </w:r>
      <w:r>
        <w:rPr>
          <w:rFonts w:hint="eastAsia" w:ascii="仿宋" w:hAnsi="仿宋" w:eastAsia="仿宋" w:cs="仿宋"/>
          <w:kern w:val="0"/>
          <w:sz w:val="24"/>
          <w:highlight w:val="none"/>
          <w:u w:val="single"/>
        </w:rPr>
        <w:t>（填写具体份数）</w:t>
      </w:r>
      <w:r>
        <w:rPr>
          <w:rFonts w:hint="eastAsia" w:ascii="仿宋" w:hAnsi="仿宋" w:eastAsia="仿宋" w:cs="仿宋"/>
          <w:kern w:val="0"/>
          <w:sz w:val="24"/>
          <w:highlight w:val="none"/>
        </w:rPr>
        <w:t>份，经双方授权代表签字并盖章后生效。甲方、乙方各执</w:t>
      </w:r>
      <w:r>
        <w:rPr>
          <w:rFonts w:hint="eastAsia" w:ascii="仿宋" w:hAnsi="仿宋" w:eastAsia="仿宋" w:cs="仿宋"/>
          <w:kern w:val="0"/>
          <w:sz w:val="24"/>
          <w:highlight w:val="none"/>
          <w:u w:val="single"/>
        </w:rPr>
        <w:t>（填写具体份数）</w:t>
      </w:r>
      <w:r>
        <w:rPr>
          <w:rFonts w:hint="eastAsia" w:ascii="仿宋" w:hAnsi="仿宋" w:eastAsia="仿宋" w:cs="仿宋"/>
          <w:kern w:val="0"/>
          <w:sz w:val="24"/>
          <w:highlight w:val="none"/>
        </w:rPr>
        <w:t>份，送</w:t>
      </w:r>
      <w:r>
        <w:rPr>
          <w:rFonts w:hint="eastAsia" w:ascii="仿宋" w:hAnsi="仿宋" w:eastAsia="仿宋" w:cs="仿宋"/>
          <w:kern w:val="0"/>
          <w:sz w:val="24"/>
          <w:highlight w:val="none"/>
          <w:u w:val="single"/>
        </w:rPr>
        <w:t>（填写需要备案的监管部门的全称）</w:t>
      </w:r>
      <w:r>
        <w:rPr>
          <w:rFonts w:hint="eastAsia" w:ascii="仿宋" w:hAnsi="仿宋" w:eastAsia="仿宋" w:cs="仿宋"/>
          <w:kern w:val="0"/>
          <w:sz w:val="24"/>
          <w:highlight w:val="none"/>
        </w:rPr>
        <w:t>备案</w:t>
      </w:r>
      <w:r>
        <w:rPr>
          <w:rFonts w:hint="eastAsia" w:ascii="仿宋" w:hAnsi="仿宋" w:eastAsia="仿宋" w:cs="仿宋"/>
          <w:kern w:val="0"/>
          <w:sz w:val="24"/>
          <w:highlight w:val="none"/>
          <w:u w:val="single"/>
        </w:rPr>
        <w:t>（填写具体份数）</w:t>
      </w:r>
      <w:r>
        <w:rPr>
          <w:rFonts w:hint="eastAsia" w:ascii="仿宋" w:hAnsi="仿宋" w:eastAsia="仿宋" w:cs="仿宋"/>
          <w:kern w:val="0"/>
          <w:sz w:val="24"/>
          <w:highlight w:val="none"/>
        </w:rPr>
        <w:t>份，具有同等效力。</w:t>
      </w:r>
    </w:p>
    <w:p w14:paraId="765118A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15.5其他：□无。□</w:t>
      </w:r>
      <w:r>
        <w:rPr>
          <w:rFonts w:hint="eastAsia" w:ascii="仿宋" w:hAnsi="仿宋" w:eastAsia="仿宋" w:cs="仿宋"/>
          <w:kern w:val="0"/>
          <w:sz w:val="24"/>
          <w:highlight w:val="none"/>
          <w:u w:val="single"/>
        </w:rPr>
        <w:t>（按照实际情况编制填写需要增加的内容）</w:t>
      </w:r>
      <w:r>
        <w:rPr>
          <w:rFonts w:hint="eastAsia" w:ascii="仿宋" w:hAnsi="仿宋" w:eastAsia="仿宋" w:cs="仿宋"/>
          <w:kern w:val="0"/>
          <w:sz w:val="24"/>
          <w:highlight w:val="none"/>
        </w:rPr>
        <w:t>。</w:t>
      </w:r>
    </w:p>
    <w:p w14:paraId="382BE8D9">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（以下无正文）</w:t>
      </w:r>
    </w:p>
    <w:p w14:paraId="271B664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707C5FC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甲方：                            乙方：</w:t>
      </w:r>
    </w:p>
    <w:p w14:paraId="3786C49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住所：                            住所：</w:t>
      </w:r>
    </w:p>
    <w:p w14:paraId="06A5C17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单位负责人：                      单位负责人：</w:t>
      </w:r>
    </w:p>
    <w:p w14:paraId="27EF3F3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委托代理人：                      委托代理人：</w:t>
      </w:r>
    </w:p>
    <w:p w14:paraId="540D539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联系方法：                        联系方法：</w:t>
      </w:r>
    </w:p>
    <w:p w14:paraId="14059B9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开户银行：                        开户银行：</w:t>
      </w:r>
    </w:p>
    <w:p w14:paraId="3573E9D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账号：                            账号：</w:t>
      </w:r>
    </w:p>
    <w:p w14:paraId="7E1D2F3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62865A9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1C31E40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签订地点：</w:t>
      </w:r>
    </w:p>
    <w:p w14:paraId="4262D1B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签订日期：</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0A9EB19B">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kern w:val="0"/>
          <w:highlight w:val="none"/>
        </w:rPr>
        <w:t> </w:t>
      </w:r>
    </w:p>
    <w:p w14:paraId="738CC75D">
      <w:pPr>
        <w:pStyle w:val="4"/>
        <w:pageBreakBefore w:val="0"/>
        <w:widowControl w:val="0"/>
        <w:kinsoku/>
        <w:wordWrap/>
        <w:overflowPunct/>
        <w:topLinePunct w:val="0"/>
        <w:autoSpaceDE/>
        <w:autoSpaceDN/>
        <w:bidi w:val="0"/>
        <w:adjustRightInd/>
        <w:snapToGrid/>
        <w:spacing w:before="312" w:after="312" w:line="360" w:lineRule="auto"/>
        <w:textAlignment w:val="auto"/>
        <w:rPr>
          <w:rFonts w:hint="eastAsia" w:ascii="仿宋" w:hAnsi="仿宋" w:eastAsia="仿宋" w:cs="仿宋"/>
          <w:highlight w:val="none"/>
        </w:rPr>
      </w:pPr>
      <w:bookmarkStart w:id="38" w:name="_Toc949"/>
      <w:r>
        <w:rPr>
          <w:rFonts w:hint="eastAsia" w:ascii="仿宋" w:hAnsi="仿宋" w:eastAsia="仿宋" w:cs="仿宋"/>
          <w:highlight w:val="none"/>
        </w:rPr>
        <w:t>第五章  首次响应文件格式</w:t>
      </w:r>
      <w:bookmarkEnd w:id="38"/>
    </w:p>
    <w:p w14:paraId="60F7FCB8">
      <w:pPr>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 </w:t>
      </w:r>
    </w:p>
    <w:p w14:paraId="63544F94">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编制说明</w:t>
      </w:r>
    </w:p>
    <w:p w14:paraId="3261FDF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1、本附件所有格式为响应文件的组成部分，供采购人或代理机构编制磋商文件时参考使用。由于新增政策、行业管理规定或者不同项目实际特点需要</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则采购人或代理机构可以对有关表格进行必要的补充或修改，以满足实际项目的使用。</w:t>
      </w:r>
    </w:p>
    <w:p w14:paraId="10940F5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除磋商文件另有规定外，磋商文件要求原件的，供应商在纸质响应文件正本中应提供原件；磋商文件要求复印件的，供应商在纸质响应文件中可提供原件、复印件或扫描件；磋商文件对原件、复印件未作要求的，供应商可自行确定在纸质响应文件中提供原件、复印件或扫描件（若供应商提供注明“复印件无效”的材料或资料，供应商在纸质响应文件正本中应提供原件）。</w:t>
      </w:r>
    </w:p>
    <w:p w14:paraId="0633291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kern w:val="0"/>
          <w:sz w:val="24"/>
          <w:highlight w:val="none"/>
        </w:rPr>
        <w:t> </w:t>
      </w:r>
    </w:p>
    <w:p w14:paraId="02B0AEE7">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0"/>
          <w:sz w:val="36"/>
          <w:highlight w:val="none"/>
        </w:rPr>
      </w:pPr>
    </w:p>
    <w:p w14:paraId="4E7B101E">
      <w:pPr>
        <w:pageBreakBefore w:val="0"/>
        <w:widowControl w:val="0"/>
        <w:kinsoku/>
        <w:wordWrap/>
        <w:overflowPunct/>
        <w:topLinePunct w:val="0"/>
        <w:autoSpaceDE/>
        <w:autoSpaceDN/>
        <w:bidi w:val="0"/>
        <w:adjustRightInd/>
        <w:snapToGrid/>
        <w:spacing w:beforeLines="100" w:afterLines="100" w:line="360" w:lineRule="auto"/>
        <w:jc w:val="center"/>
        <w:textAlignment w:val="auto"/>
        <w:rPr>
          <w:rFonts w:hint="eastAsia" w:ascii="仿宋" w:hAnsi="仿宋" w:eastAsia="仿宋" w:cs="仿宋"/>
          <w:b/>
          <w:sz w:val="52"/>
          <w:szCs w:val="32"/>
          <w:highlight w:val="none"/>
        </w:rPr>
      </w:pPr>
      <w:r>
        <w:rPr>
          <w:rFonts w:hint="eastAsia" w:ascii="仿宋" w:hAnsi="仿宋" w:eastAsia="仿宋" w:cs="仿宋"/>
          <w:b/>
          <w:sz w:val="52"/>
          <w:szCs w:val="32"/>
          <w:highlight w:val="none"/>
        </w:rPr>
        <w:t>竞争性磋商</w:t>
      </w:r>
    </w:p>
    <w:p w14:paraId="6C55E287">
      <w:pPr>
        <w:pageBreakBefore w:val="0"/>
        <w:widowControl w:val="0"/>
        <w:kinsoku/>
        <w:wordWrap/>
        <w:overflowPunct/>
        <w:topLinePunct w:val="0"/>
        <w:autoSpaceDE/>
        <w:autoSpaceDN/>
        <w:bidi w:val="0"/>
        <w:adjustRightInd/>
        <w:snapToGrid/>
        <w:spacing w:beforeLines="100" w:afterLines="100" w:line="360" w:lineRule="auto"/>
        <w:jc w:val="center"/>
        <w:textAlignment w:val="auto"/>
        <w:rPr>
          <w:rFonts w:hint="eastAsia" w:ascii="仿宋" w:hAnsi="仿宋" w:eastAsia="仿宋" w:cs="仿宋"/>
          <w:b/>
          <w:sz w:val="52"/>
          <w:szCs w:val="32"/>
          <w:highlight w:val="none"/>
        </w:rPr>
      </w:pPr>
      <w:r>
        <w:rPr>
          <w:rFonts w:hint="eastAsia" w:ascii="仿宋" w:hAnsi="仿宋" w:eastAsia="仿宋" w:cs="仿宋"/>
          <w:b/>
          <w:sz w:val="52"/>
          <w:szCs w:val="32"/>
          <w:highlight w:val="none"/>
        </w:rPr>
        <w:t>响应文件</w:t>
      </w:r>
    </w:p>
    <w:p w14:paraId="7B17F355">
      <w:pPr>
        <w:pageBreakBefore w:val="0"/>
        <w:widowControl w:val="0"/>
        <w:kinsoku/>
        <w:wordWrap/>
        <w:overflowPunct/>
        <w:topLinePunct w:val="0"/>
        <w:autoSpaceDE/>
        <w:autoSpaceDN/>
        <w:bidi w:val="0"/>
        <w:adjustRightInd/>
        <w:snapToGrid/>
        <w:spacing w:beforeLines="100" w:afterLines="100" w:line="360" w:lineRule="auto"/>
        <w:jc w:val="center"/>
        <w:textAlignment w:val="auto"/>
        <w:rPr>
          <w:rFonts w:hint="eastAsia" w:ascii="仿宋" w:hAnsi="仿宋" w:eastAsia="仿宋" w:cs="仿宋"/>
          <w:b/>
          <w:sz w:val="52"/>
          <w:szCs w:val="32"/>
          <w:highlight w:val="none"/>
        </w:rPr>
      </w:pPr>
      <w:r>
        <w:rPr>
          <w:rFonts w:hint="eastAsia" w:ascii="仿宋" w:hAnsi="仿宋" w:eastAsia="仿宋" w:cs="仿宋"/>
          <w:b/>
          <w:sz w:val="52"/>
          <w:szCs w:val="32"/>
          <w:highlight w:val="none"/>
        </w:rPr>
        <w:t>（首次）</w:t>
      </w:r>
    </w:p>
    <w:p w14:paraId="110B6550">
      <w:pPr>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宋体"/>
          <w:kern w:val="0"/>
          <w:sz w:val="28"/>
          <w:szCs w:val="28"/>
          <w:highlight w:val="none"/>
        </w:rPr>
      </w:pPr>
      <w:r>
        <w:rPr>
          <w:rFonts w:ascii="仿宋" w:hAnsi="仿宋" w:eastAsia="仿宋" w:cs="宋体"/>
          <w:b/>
          <w:bCs/>
          <w:kern w:val="0"/>
          <w:sz w:val="28"/>
          <w:szCs w:val="28"/>
          <w:highlight w:val="none"/>
          <w:u w:val="single"/>
        </w:rPr>
        <w:t>（填写正本或副本）</w:t>
      </w:r>
    </w:p>
    <w:p w14:paraId="0E8B3564">
      <w:pPr>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宋体"/>
          <w:kern w:val="0"/>
          <w:sz w:val="28"/>
          <w:szCs w:val="28"/>
          <w:highlight w:val="none"/>
        </w:rPr>
      </w:pPr>
      <w:r>
        <w:rPr>
          <w:rFonts w:ascii="宋体" w:hAnsi="宋体" w:eastAsia="仿宋" w:cs="宋体"/>
          <w:kern w:val="0"/>
          <w:sz w:val="28"/>
          <w:szCs w:val="28"/>
          <w:highlight w:val="none"/>
        </w:rPr>
        <w:t> </w:t>
      </w:r>
    </w:p>
    <w:p w14:paraId="6AAE2291">
      <w:pPr>
        <w:pageBreakBefore w:val="0"/>
        <w:widowControl w:val="0"/>
        <w:kinsoku/>
        <w:wordWrap/>
        <w:overflowPunct/>
        <w:topLinePunct w:val="0"/>
        <w:autoSpaceDE/>
        <w:autoSpaceDN/>
        <w:bidi w:val="0"/>
        <w:adjustRightInd/>
        <w:snapToGrid/>
        <w:spacing w:line="360" w:lineRule="auto"/>
        <w:ind w:firstLine="2694"/>
        <w:jc w:val="left"/>
        <w:textAlignment w:val="auto"/>
        <w:rPr>
          <w:rFonts w:ascii="仿宋" w:hAnsi="仿宋" w:eastAsia="仿宋" w:cs="宋体"/>
          <w:kern w:val="0"/>
          <w:sz w:val="28"/>
          <w:szCs w:val="28"/>
          <w:highlight w:val="none"/>
        </w:rPr>
      </w:pPr>
      <w:r>
        <w:rPr>
          <w:rFonts w:ascii="仿宋" w:hAnsi="仿宋" w:eastAsia="仿宋" w:cs="宋体"/>
          <w:b/>
          <w:bCs/>
          <w:kern w:val="0"/>
          <w:sz w:val="28"/>
          <w:szCs w:val="28"/>
          <w:highlight w:val="none"/>
        </w:rPr>
        <w:t>项目名称：</w:t>
      </w:r>
      <w:r>
        <w:rPr>
          <w:rFonts w:ascii="仿宋" w:hAnsi="仿宋" w:eastAsia="仿宋" w:cs="宋体"/>
          <w:b/>
          <w:bCs/>
          <w:kern w:val="0"/>
          <w:sz w:val="28"/>
          <w:szCs w:val="28"/>
          <w:highlight w:val="none"/>
          <w:u w:val="single"/>
        </w:rPr>
        <w:t>（由</w:t>
      </w:r>
      <w:r>
        <w:rPr>
          <w:rFonts w:hint="eastAsia" w:ascii="仿宋" w:hAnsi="仿宋" w:eastAsia="仿宋" w:cs="宋体"/>
          <w:b/>
          <w:bCs/>
          <w:kern w:val="0"/>
          <w:sz w:val="28"/>
          <w:szCs w:val="28"/>
          <w:highlight w:val="none"/>
          <w:u w:val="single"/>
          <w:lang w:val="en-US" w:eastAsia="zh-CN"/>
        </w:rPr>
        <w:t>供应商</w:t>
      </w:r>
      <w:r>
        <w:rPr>
          <w:rFonts w:ascii="仿宋" w:hAnsi="仿宋" w:eastAsia="仿宋" w:cs="宋体"/>
          <w:b/>
          <w:bCs/>
          <w:kern w:val="0"/>
          <w:sz w:val="28"/>
          <w:szCs w:val="28"/>
          <w:highlight w:val="none"/>
          <w:u w:val="single"/>
        </w:rPr>
        <w:t>填写）</w:t>
      </w:r>
    </w:p>
    <w:p w14:paraId="48044DCD">
      <w:pPr>
        <w:pageBreakBefore w:val="0"/>
        <w:widowControl w:val="0"/>
        <w:kinsoku/>
        <w:wordWrap/>
        <w:overflowPunct/>
        <w:topLinePunct w:val="0"/>
        <w:autoSpaceDE/>
        <w:autoSpaceDN/>
        <w:bidi w:val="0"/>
        <w:adjustRightInd/>
        <w:snapToGrid/>
        <w:spacing w:line="360" w:lineRule="auto"/>
        <w:ind w:firstLine="2694"/>
        <w:jc w:val="left"/>
        <w:textAlignment w:val="auto"/>
        <w:rPr>
          <w:rFonts w:ascii="仿宋" w:hAnsi="仿宋" w:eastAsia="仿宋" w:cs="宋体"/>
          <w:kern w:val="0"/>
          <w:sz w:val="28"/>
          <w:szCs w:val="28"/>
          <w:highlight w:val="none"/>
        </w:rPr>
      </w:pPr>
      <w:r>
        <w:rPr>
          <w:rFonts w:ascii="仿宋" w:hAnsi="仿宋" w:eastAsia="仿宋" w:cs="宋体"/>
          <w:b/>
          <w:bCs/>
          <w:kern w:val="0"/>
          <w:sz w:val="28"/>
          <w:szCs w:val="28"/>
          <w:highlight w:val="none"/>
        </w:rPr>
        <w:t>项目编号：</w:t>
      </w:r>
      <w:r>
        <w:rPr>
          <w:rFonts w:ascii="仿宋" w:hAnsi="仿宋" w:eastAsia="仿宋" w:cs="宋体"/>
          <w:b/>
          <w:bCs/>
          <w:kern w:val="0"/>
          <w:sz w:val="28"/>
          <w:szCs w:val="28"/>
          <w:highlight w:val="none"/>
          <w:u w:val="single"/>
        </w:rPr>
        <w:t>（由</w:t>
      </w:r>
      <w:r>
        <w:rPr>
          <w:rFonts w:hint="eastAsia" w:ascii="仿宋" w:hAnsi="仿宋" w:eastAsia="仿宋" w:cs="宋体"/>
          <w:b/>
          <w:bCs/>
          <w:kern w:val="0"/>
          <w:sz w:val="28"/>
          <w:szCs w:val="28"/>
          <w:highlight w:val="none"/>
          <w:u w:val="single"/>
          <w:lang w:val="en-US" w:eastAsia="zh-CN"/>
        </w:rPr>
        <w:t>供应商</w:t>
      </w:r>
      <w:r>
        <w:rPr>
          <w:rFonts w:ascii="仿宋" w:hAnsi="仿宋" w:eastAsia="仿宋" w:cs="宋体"/>
          <w:b/>
          <w:bCs/>
          <w:kern w:val="0"/>
          <w:sz w:val="28"/>
          <w:szCs w:val="28"/>
          <w:highlight w:val="none"/>
          <w:u w:val="single"/>
        </w:rPr>
        <w:t>填写）</w:t>
      </w:r>
    </w:p>
    <w:p w14:paraId="1D9D11D1">
      <w:pPr>
        <w:pageBreakBefore w:val="0"/>
        <w:widowControl w:val="0"/>
        <w:kinsoku/>
        <w:wordWrap/>
        <w:overflowPunct/>
        <w:topLinePunct w:val="0"/>
        <w:autoSpaceDE/>
        <w:autoSpaceDN/>
        <w:bidi w:val="0"/>
        <w:adjustRightInd/>
        <w:snapToGrid/>
        <w:spacing w:line="360" w:lineRule="auto"/>
        <w:ind w:firstLine="2694"/>
        <w:jc w:val="left"/>
        <w:textAlignment w:val="auto"/>
        <w:rPr>
          <w:rFonts w:ascii="仿宋" w:hAnsi="仿宋" w:eastAsia="仿宋" w:cs="宋体"/>
          <w:kern w:val="0"/>
          <w:sz w:val="28"/>
          <w:szCs w:val="28"/>
          <w:highlight w:val="none"/>
        </w:rPr>
      </w:pPr>
      <w:r>
        <w:rPr>
          <w:rFonts w:ascii="仿宋" w:hAnsi="仿宋" w:eastAsia="仿宋" w:cs="宋体"/>
          <w:b/>
          <w:bCs/>
          <w:kern w:val="0"/>
          <w:sz w:val="28"/>
          <w:szCs w:val="28"/>
          <w:highlight w:val="none"/>
        </w:rPr>
        <w:t>所投采购包：</w:t>
      </w:r>
      <w:r>
        <w:rPr>
          <w:rFonts w:ascii="仿宋" w:hAnsi="仿宋" w:eastAsia="仿宋" w:cs="宋体"/>
          <w:b/>
          <w:bCs/>
          <w:kern w:val="0"/>
          <w:sz w:val="28"/>
          <w:szCs w:val="28"/>
          <w:highlight w:val="none"/>
          <w:u w:val="single"/>
        </w:rPr>
        <w:t>（由</w:t>
      </w:r>
      <w:r>
        <w:rPr>
          <w:rFonts w:hint="eastAsia" w:ascii="仿宋" w:hAnsi="仿宋" w:eastAsia="仿宋" w:cs="宋体"/>
          <w:b/>
          <w:bCs/>
          <w:kern w:val="0"/>
          <w:sz w:val="28"/>
          <w:szCs w:val="28"/>
          <w:highlight w:val="none"/>
          <w:u w:val="single"/>
          <w:lang w:val="en-US" w:eastAsia="zh-CN"/>
        </w:rPr>
        <w:t>供应商</w:t>
      </w:r>
      <w:r>
        <w:rPr>
          <w:rFonts w:ascii="仿宋" w:hAnsi="仿宋" w:eastAsia="仿宋" w:cs="宋体"/>
          <w:b/>
          <w:bCs/>
          <w:kern w:val="0"/>
          <w:sz w:val="28"/>
          <w:szCs w:val="28"/>
          <w:highlight w:val="none"/>
          <w:u w:val="single"/>
        </w:rPr>
        <w:t>填写）</w:t>
      </w:r>
    </w:p>
    <w:p w14:paraId="457D0DB9">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rPr>
          <w:rStyle w:val="21"/>
          <w:rFonts w:hint="eastAsia" w:ascii="仿宋" w:hAnsi="仿宋" w:eastAsia="仿宋" w:cs="仿宋"/>
          <w:highlight w:val="none"/>
        </w:rPr>
      </w:pPr>
      <w:r>
        <w:rPr>
          <w:rStyle w:val="21"/>
          <w:rFonts w:hint="eastAsia" w:ascii="仿宋" w:hAnsi="仿宋" w:eastAsia="仿宋" w:cs="仿宋"/>
          <w:b w:val="0"/>
          <w:highlight w:val="none"/>
        </w:rPr>
        <w:t> </w:t>
      </w:r>
    </w:p>
    <w:p w14:paraId="34AF6E70">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rPr>
          <w:rStyle w:val="21"/>
          <w:rFonts w:hint="eastAsia" w:ascii="仿宋" w:hAnsi="仿宋" w:eastAsia="仿宋" w:cs="仿宋"/>
          <w:highlight w:val="none"/>
        </w:rPr>
      </w:pPr>
      <w:r>
        <w:rPr>
          <w:rStyle w:val="21"/>
          <w:rFonts w:hint="eastAsia" w:ascii="仿宋" w:hAnsi="仿宋" w:eastAsia="仿宋" w:cs="仿宋"/>
          <w:b w:val="0"/>
          <w:highlight w:val="none"/>
        </w:rPr>
        <w:t> </w:t>
      </w:r>
    </w:p>
    <w:p w14:paraId="41FC90F7">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rPr>
          <w:rStyle w:val="21"/>
          <w:rFonts w:hint="eastAsia" w:ascii="仿宋" w:hAnsi="仿宋" w:eastAsia="仿宋" w:cs="仿宋"/>
          <w:highlight w:val="none"/>
        </w:rPr>
      </w:pPr>
      <w:r>
        <w:rPr>
          <w:rStyle w:val="21"/>
          <w:rFonts w:hint="eastAsia" w:ascii="仿宋" w:hAnsi="仿宋" w:eastAsia="仿宋" w:cs="仿宋"/>
          <w:b w:val="0"/>
          <w:highlight w:val="none"/>
        </w:rPr>
        <w:t> </w:t>
      </w:r>
    </w:p>
    <w:p w14:paraId="4EB60FA2">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rPr>
          <w:rStyle w:val="21"/>
          <w:rFonts w:hint="eastAsia" w:ascii="仿宋" w:hAnsi="仿宋" w:eastAsia="仿宋" w:cs="仿宋"/>
          <w:highlight w:val="none"/>
        </w:rPr>
      </w:pPr>
      <w:r>
        <w:rPr>
          <w:rStyle w:val="21"/>
          <w:rFonts w:hint="eastAsia" w:ascii="仿宋" w:hAnsi="仿宋" w:eastAsia="仿宋" w:cs="仿宋"/>
          <w:b w:val="0"/>
          <w:highlight w:val="none"/>
        </w:rPr>
        <w:t> </w:t>
      </w:r>
    </w:p>
    <w:p w14:paraId="60B35A20">
      <w:pPr>
        <w:pStyle w:val="15"/>
        <w:pageBreakBefore w:val="0"/>
        <w:widowControl w:val="0"/>
        <w:kinsoku/>
        <w:wordWrap/>
        <w:overflowPunct/>
        <w:topLinePunct w:val="0"/>
        <w:autoSpaceDE/>
        <w:autoSpaceDN/>
        <w:bidi w:val="0"/>
        <w:adjustRightInd/>
        <w:snapToGrid/>
        <w:spacing w:before="75" w:beforeAutospacing="0" w:after="75" w:afterAutospacing="0" w:line="360" w:lineRule="auto"/>
        <w:jc w:val="center"/>
        <w:textAlignment w:val="auto"/>
        <w:rPr>
          <w:rStyle w:val="21"/>
          <w:rFonts w:hint="eastAsia" w:ascii="仿宋" w:hAnsi="仿宋" w:eastAsia="仿宋" w:cs="仿宋"/>
          <w:highlight w:val="none"/>
        </w:rPr>
      </w:pPr>
      <w:r>
        <w:rPr>
          <w:rStyle w:val="21"/>
          <w:rFonts w:hint="eastAsia" w:ascii="仿宋" w:hAnsi="仿宋" w:eastAsia="仿宋" w:cs="仿宋"/>
          <w:b w:val="0"/>
          <w:highlight w:val="none"/>
        </w:rPr>
        <w:t> </w:t>
      </w:r>
    </w:p>
    <w:p w14:paraId="1C43A6F6">
      <w:pPr>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宋体"/>
          <w:kern w:val="0"/>
          <w:sz w:val="28"/>
          <w:szCs w:val="28"/>
          <w:highlight w:val="none"/>
        </w:rPr>
      </w:pPr>
      <w:r>
        <w:rPr>
          <w:rFonts w:hint="eastAsia" w:ascii="仿宋" w:hAnsi="仿宋" w:eastAsia="仿宋" w:cs="宋体"/>
          <w:b/>
          <w:bCs/>
          <w:kern w:val="0"/>
          <w:sz w:val="28"/>
          <w:szCs w:val="28"/>
          <w:highlight w:val="none"/>
          <w:lang w:val="en-US" w:eastAsia="zh-CN"/>
        </w:rPr>
        <w:t>供应商</w:t>
      </w:r>
      <w:r>
        <w:rPr>
          <w:rFonts w:ascii="仿宋" w:hAnsi="仿宋" w:eastAsia="仿宋" w:cs="宋体"/>
          <w:b/>
          <w:bCs/>
          <w:kern w:val="0"/>
          <w:sz w:val="28"/>
          <w:szCs w:val="28"/>
          <w:highlight w:val="none"/>
        </w:rPr>
        <w:t>：</w:t>
      </w:r>
      <w:r>
        <w:rPr>
          <w:rFonts w:ascii="仿宋" w:hAnsi="仿宋" w:eastAsia="仿宋" w:cs="宋体"/>
          <w:b/>
          <w:bCs/>
          <w:kern w:val="0"/>
          <w:sz w:val="28"/>
          <w:szCs w:val="28"/>
          <w:highlight w:val="none"/>
          <w:u w:val="single"/>
        </w:rPr>
        <w:t>（填写“全称”）</w:t>
      </w:r>
    </w:p>
    <w:p w14:paraId="39BCA009">
      <w:pPr>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宋体"/>
          <w:kern w:val="0"/>
          <w:sz w:val="28"/>
          <w:szCs w:val="28"/>
          <w:highlight w:val="none"/>
        </w:rPr>
      </w:pPr>
      <w:r>
        <w:rPr>
          <w:rFonts w:ascii="仿宋" w:hAnsi="仿宋" w:eastAsia="仿宋" w:cs="宋体"/>
          <w:b/>
          <w:bCs/>
          <w:kern w:val="0"/>
          <w:sz w:val="28"/>
          <w:szCs w:val="28"/>
          <w:highlight w:val="none"/>
          <w:u w:val="single"/>
        </w:rPr>
        <w:t>（由</w:t>
      </w:r>
      <w:r>
        <w:rPr>
          <w:rFonts w:hint="eastAsia" w:ascii="仿宋" w:hAnsi="仿宋" w:eastAsia="仿宋" w:cs="宋体"/>
          <w:b/>
          <w:bCs/>
          <w:kern w:val="0"/>
          <w:sz w:val="28"/>
          <w:szCs w:val="28"/>
          <w:highlight w:val="none"/>
          <w:u w:val="single"/>
          <w:lang w:val="en-US" w:eastAsia="zh-CN"/>
        </w:rPr>
        <w:t>供应商</w:t>
      </w:r>
      <w:r>
        <w:rPr>
          <w:rFonts w:ascii="仿宋" w:hAnsi="仿宋" w:eastAsia="仿宋" w:cs="宋体"/>
          <w:b/>
          <w:bCs/>
          <w:kern w:val="0"/>
          <w:sz w:val="28"/>
          <w:szCs w:val="28"/>
          <w:highlight w:val="none"/>
          <w:u w:val="single"/>
        </w:rPr>
        <w:t>填写）</w:t>
      </w:r>
      <w:r>
        <w:rPr>
          <w:rFonts w:ascii="仿宋" w:hAnsi="仿宋" w:eastAsia="仿宋" w:cs="宋体"/>
          <w:b/>
          <w:bCs/>
          <w:kern w:val="0"/>
          <w:sz w:val="28"/>
          <w:szCs w:val="28"/>
          <w:highlight w:val="none"/>
        </w:rPr>
        <w:t>年</w:t>
      </w:r>
      <w:r>
        <w:rPr>
          <w:rFonts w:ascii="仿宋" w:hAnsi="仿宋" w:eastAsia="仿宋" w:cs="宋体"/>
          <w:b/>
          <w:bCs/>
          <w:kern w:val="0"/>
          <w:sz w:val="28"/>
          <w:szCs w:val="28"/>
          <w:highlight w:val="none"/>
          <w:u w:val="single"/>
        </w:rPr>
        <w:t>（由</w:t>
      </w:r>
      <w:r>
        <w:rPr>
          <w:rFonts w:hint="eastAsia" w:ascii="仿宋" w:hAnsi="仿宋" w:eastAsia="仿宋" w:cs="宋体"/>
          <w:b/>
          <w:bCs/>
          <w:kern w:val="0"/>
          <w:sz w:val="28"/>
          <w:szCs w:val="28"/>
          <w:highlight w:val="none"/>
          <w:u w:val="single"/>
          <w:lang w:val="en-US" w:eastAsia="zh-CN"/>
        </w:rPr>
        <w:t>供应商</w:t>
      </w:r>
      <w:r>
        <w:rPr>
          <w:rFonts w:ascii="仿宋" w:hAnsi="仿宋" w:eastAsia="仿宋" w:cs="宋体"/>
          <w:b/>
          <w:bCs/>
          <w:kern w:val="0"/>
          <w:sz w:val="28"/>
          <w:szCs w:val="28"/>
          <w:highlight w:val="none"/>
          <w:u w:val="single"/>
        </w:rPr>
        <w:t>填写）</w:t>
      </w:r>
      <w:r>
        <w:rPr>
          <w:rFonts w:ascii="仿宋" w:hAnsi="仿宋" w:eastAsia="仿宋" w:cs="宋体"/>
          <w:b/>
          <w:bCs/>
          <w:kern w:val="0"/>
          <w:sz w:val="28"/>
          <w:szCs w:val="28"/>
          <w:highlight w:val="none"/>
        </w:rPr>
        <w:t>月</w:t>
      </w:r>
    </w:p>
    <w:p w14:paraId="2247B2A6">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highlight w:val="none"/>
        </w:rPr>
      </w:pPr>
    </w:p>
    <w:p w14:paraId="0012D1F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0"/>
          <w:sz w:val="32"/>
          <w:highlight w:val="none"/>
        </w:rPr>
        <w:sectPr>
          <w:pgSz w:w="11906" w:h="16838"/>
          <w:pgMar w:top="1440" w:right="1080" w:bottom="1440" w:left="1080" w:header="851" w:footer="992" w:gutter="0"/>
          <w:cols w:space="0" w:num="1"/>
          <w:docGrid w:type="lines" w:linePitch="312" w:charSpace="0"/>
        </w:sectPr>
      </w:pPr>
    </w:p>
    <w:p w14:paraId="0A569ADD">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32"/>
          <w:highlight w:val="none"/>
        </w:rPr>
      </w:pPr>
      <w:r>
        <w:rPr>
          <w:rFonts w:hint="eastAsia" w:ascii="仿宋" w:hAnsi="仿宋" w:eastAsia="仿宋" w:cs="仿宋"/>
          <w:b/>
          <w:bCs/>
          <w:kern w:val="0"/>
          <w:sz w:val="32"/>
          <w:highlight w:val="none"/>
        </w:rPr>
        <w:t>目  录</w:t>
      </w:r>
    </w:p>
    <w:p w14:paraId="185939A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2828129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szCs w:val="24"/>
          <w:highlight w:val="none"/>
          <w:lang w:val="en-US" w:eastAsia="zh-CN" w:bidi="ar-SA"/>
        </w:rPr>
        <w:t>一、</w:t>
      </w:r>
      <w:r>
        <w:rPr>
          <w:rFonts w:hint="eastAsia" w:ascii="仿宋" w:hAnsi="仿宋" w:eastAsia="仿宋" w:cs="仿宋"/>
          <w:kern w:val="0"/>
          <w:sz w:val="24"/>
          <w:highlight w:val="none"/>
        </w:rPr>
        <w:t>磋商响应声明</w:t>
      </w:r>
    </w:p>
    <w:p w14:paraId="3D25AEE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二、报价一览表</w:t>
      </w:r>
    </w:p>
    <w:p w14:paraId="6E5465A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三、详细报价书</w:t>
      </w:r>
    </w:p>
    <w:p w14:paraId="01AEA82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四、资格证明文件</w:t>
      </w:r>
    </w:p>
    <w:p w14:paraId="65FC0B8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五、磋商保证金凭证</w:t>
      </w:r>
    </w:p>
    <w:p w14:paraId="54F8303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六、带“★”号条款逐条响应情况表</w:t>
      </w:r>
    </w:p>
    <w:p w14:paraId="1DCB1A0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宋体"/>
          <w:kern w:val="0"/>
          <w:sz w:val="24"/>
          <w:szCs w:val="24"/>
          <w:highlight w:val="none"/>
          <w:lang w:val="en-US" w:eastAsia="zh-CN"/>
        </w:rPr>
      </w:pPr>
      <w:r>
        <w:rPr>
          <w:rFonts w:hint="eastAsia" w:ascii="仿宋" w:hAnsi="仿宋" w:eastAsia="仿宋" w:cs="仿宋"/>
          <w:kern w:val="0"/>
          <w:sz w:val="24"/>
          <w:highlight w:val="none"/>
          <w:lang w:val="en-US" w:eastAsia="zh-CN"/>
        </w:rPr>
        <w:t>七</w:t>
      </w:r>
      <w:r>
        <w:rPr>
          <w:rFonts w:hint="eastAsia" w:ascii="仿宋" w:hAnsi="仿宋" w:eastAsia="仿宋" w:cs="宋体"/>
          <w:kern w:val="0"/>
          <w:sz w:val="24"/>
          <w:szCs w:val="24"/>
          <w:highlight w:val="none"/>
          <w:lang w:val="en-US" w:eastAsia="zh-CN"/>
        </w:rPr>
        <w:t>、技术商务评分响应索引表</w:t>
      </w:r>
    </w:p>
    <w:p w14:paraId="6820253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宋体"/>
          <w:kern w:val="0"/>
          <w:sz w:val="24"/>
          <w:szCs w:val="24"/>
          <w:highlight w:val="none"/>
        </w:rPr>
      </w:pPr>
      <w:r>
        <w:rPr>
          <w:rFonts w:hint="eastAsia" w:ascii="仿宋" w:hAnsi="仿宋" w:eastAsia="仿宋" w:cs="宋体"/>
          <w:kern w:val="0"/>
          <w:sz w:val="24"/>
          <w:szCs w:val="24"/>
          <w:highlight w:val="none"/>
          <w:lang w:val="en-US" w:eastAsia="zh-CN"/>
        </w:rPr>
        <w:t>八、</w:t>
      </w:r>
      <w:r>
        <w:rPr>
          <w:rFonts w:hint="eastAsia" w:ascii="仿宋" w:hAnsi="仿宋" w:eastAsia="仿宋" w:cs="宋体"/>
          <w:kern w:val="0"/>
          <w:sz w:val="24"/>
          <w:szCs w:val="24"/>
          <w:highlight w:val="none"/>
        </w:rPr>
        <w:t>业绩汇总表</w:t>
      </w:r>
    </w:p>
    <w:p w14:paraId="5369BA3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仿宋" w:hAnsi="仿宋" w:eastAsia="仿宋" w:cs="宋体"/>
          <w:kern w:val="0"/>
          <w:sz w:val="24"/>
          <w:szCs w:val="24"/>
          <w:highlight w:val="none"/>
        </w:rPr>
      </w:pPr>
      <w:r>
        <w:rPr>
          <w:rFonts w:hint="eastAsia" w:ascii="仿宋" w:hAnsi="仿宋" w:eastAsia="仿宋" w:cs="宋体"/>
          <w:kern w:val="0"/>
          <w:sz w:val="24"/>
          <w:szCs w:val="24"/>
          <w:highlight w:val="none"/>
          <w:lang w:val="en-US" w:eastAsia="zh-CN"/>
        </w:rPr>
        <w:t>九、技术和服务要求响应表</w:t>
      </w:r>
    </w:p>
    <w:p w14:paraId="05C5C24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宋体"/>
          <w:kern w:val="0"/>
          <w:sz w:val="24"/>
          <w:szCs w:val="24"/>
          <w:highlight w:val="none"/>
          <w:lang w:val="en-US" w:eastAsia="zh-CN"/>
        </w:rPr>
      </w:pPr>
      <w:r>
        <w:rPr>
          <w:rFonts w:hint="eastAsia" w:ascii="仿宋" w:hAnsi="仿宋" w:eastAsia="仿宋" w:cs="宋体"/>
          <w:kern w:val="0"/>
          <w:sz w:val="24"/>
          <w:szCs w:val="24"/>
          <w:highlight w:val="none"/>
          <w:lang w:val="en-US" w:eastAsia="zh-CN"/>
        </w:rPr>
        <w:t>十、商务条件和其他事项响应表</w:t>
      </w:r>
    </w:p>
    <w:p w14:paraId="73B7D89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十一、</w:t>
      </w:r>
      <w:r>
        <w:rPr>
          <w:rFonts w:hint="eastAsia" w:ascii="仿宋" w:hAnsi="仿宋" w:eastAsia="仿宋" w:cs="仿宋"/>
          <w:kern w:val="0"/>
          <w:sz w:val="24"/>
          <w:highlight w:val="none"/>
        </w:rPr>
        <w:t>相关技术、商务、服务响应承诺及资料</w:t>
      </w:r>
    </w:p>
    <w:p w14:paraId="2DDEE12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十二、价格扣除的证明材料（若有）</w:t>
      </w:r>
    </w:p>
    <w:p w14:paraId="2373242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十三、要求作为响应文件组成部分的其他内容（若有）</w:t>
      </w:r>
    </w:p>
    <w:p w14:paraId="743B9E7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209BC4C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kern w:val="0"/>
          <w:sz w:val="24"/>
          <w:highlight w:val="none"/>
        </w:rPr>
        <w:t> </w:t>
      </w:r>
    </w:p>
    <w:p w14:paraId="023592CE">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rPr>
      </w:pPr>
      <w:r>
        <w:rPr>
          <w:rFonts w:hint="eastAsia" w:ascii="仿宋" w:hAnsi="仿宋" w:eastAsia="仿宋"/>
          <w:sz w:val="28"/>
          <w:szCs w:val="28"/>
          <w:highlight w:val="none"/>
          <w:lang w:val="en-US" w:eastAsia="zh-CN"/>
        </w:rPr>
        <w:t>一、</w:t>
      </w:r>
      <w:r>
        <w:rPr>
          <w:rFonts w:hint="eastAsia" w:ascii="仿宋" w:hAnsi="仿宋" w:eastAsia="仿宋"/>
          <w:sz w:val="28"/>
          <w:szCs w:val="28"/>
          <w:highlight w:val="none"/>
        </w:rPr>
        <w:t>磋商响应声明</w:t>
      </w:r>
    </w:p>
    <w:p w14:paraId="788DA8B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30D988F3">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采购人或采购代理机构</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 xml:space="preserve">       </w:t>
      </w:r>
    </w:p>
    <w:p w14:paraId="3AB034E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1.根据贵方为</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项目（项目编号</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）的采购公告（或采购邀请书），我方签字代表</w:t>
      </w:r>
      <w:r>
        <w:rPr>
          <w:rFonts w:hint="eastAsia" w:ascii="仿宋" w:hAnsi="仿宋" w:eastAsia="仿宋" w:cs="仿宋"/>
          <w:kern w:val="0"/>
          <w:sz w:val="24"/>
          <w:highlight w:val="none"/>
          <w:u w:val="single"/>
        </w:rPr>
        <w:t>         （全名、职务）   </w:t>
      </w:r>
      <w:r>
        <w:rPr>
          <w:rFonts w:hint="eastAsia" w:ascii="仿宋" w:hAnsi="仿宋" w:eastAsia="仿宋" w:cs="仿宋"/>
          <w:kern w:val="0"/>
          <w:sz w:val="24"/>
          <w:highlight w:val="none"/>
        </w:rPr>
        <w:t>经正式授权并代表的供应商</w:t>
      </w:r>
      <w:r>
        <w:rPr>
          <w:rFonts w:hint="eastAsia" w:ascii="仿宋" w:hAnsi="仿宋" w:eastAsia="仿宋" w:cs="仿宋"/>
          <w:kern w:val="0"/>
          <w:sz w:val="24"/>
          <w:highlight w:val="none"/>
          <w:u w:val="single"/>
        </w:rPr>
        <w:t>          （供应商名称、地址）</w:t>
      </w:r>
      <w:r>
        <w:rPr>
          <w:rFonts w:hint="eastAsia" w:ascii="仿宋" w:hAnsi="仿宋" w:eastAsia="仿宋" w:cs="仿宋"/>
          <w:kern w:val="0"/>
          <w:sz w:val="24"/>
          <w:highlight w:val="none"/>
        </w:rPr>
        <w:t>提交包含下述内容的首次响应文件纸质文本正本</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套，副本</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套及电子文档</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套。</w:t>
      </w:r>
    </w:p>
    <w:p w14:paraId="782FD1B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（1）磋商响应声明</w:t>
      </w:r>
    </w:p>
    <w:p w14:paraId="082A644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）报价一览表</w:t>
      </w:r>
    </w:p>
    <w:p w14:paraId="214C1F6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3</w:t>
      </w:r>
      <w:r>
        <w:rPr>
          <w:rFonts w:hint="eastAsia" w:ascii="仿宋" w:hAnsi="仿宋" w:eastAsia="仿宋" w:cs="仿宋"/>
          <w:kern w:val="0"/>
          <w:sz w:val="24"/>
          <w:highlight w:val="none"/>
        </w:rPr>
        <w:t>）详细报价书</w:t>
      </w:r>
    </w:p>
    <w:p w14:paraId="04F573A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4</w:t>
      </w:r>
      <w:r>
        <w:rPr>
          <w:rFonts w:hint="eastAsia" w:ascii="仿宋" w:hAnsi="仿宋" w:eastAsia="仿宋" w:cs="仿宋"/>
          <w:kern w:val="0"/>
          <w:sz w:val="24"/>
          <w:highlight w:val="none"/>
        </w:rPr>
        <w:t>）资格证明文件</w:t>
      </w:r>
    </w:p>
    <w:p w14:paraId="6D65752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）磋商保证金凭证</w:t>
      </w:r>
    </w:p>
    <w:p w14:paraId="5CB7469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）带“★”号条款逐条响应情况表</w:t>
      </w:r>
    </w:p>
    <w:p w14:paraId="73BF8A4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7</w:t>
      </w:r>
      <w:r>
        <w:rPr>
          <w:rFonts w:hint="eastAsia" w:ascii="仿宋" w:hAnsi="仿宋" w:eastAsia="仿宋" w:cs="仿宋"/>
          <w:kern w:val="0"/>
          <w:sz w:val="24"/>
          <w:highlight w:val="none"/>
        </w:rPr>
        <w:t>）技术商务评分响应索引表</w:t>
      </w:r>
    </w:p>
    <w:p w14:paraId="0B29762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8</w:t>
      </w:r>
      <w:r>
        <w:rPr>
          <w:rFonts w:hint="eastAsia" w:ascii="仿宋" w:hAnsi="仿宋" w:eastAsia="仿宋" w:cs="仿宋"/>
          <w:kern w:val="0"/>
          <w:sz w:val="24"/>
          <w:highlight w:val="none"/>
        </w:rPr>
        <w:t>）业绩汇总表</w:t>
      </w:r>
    </w:p>
    <w:p w14:paraId="715DD9C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9</w:t>
      </w:r>
      <w:r>
        <w:rPr>
          <w:rFonts w:hint="eastAsia" w:ascii="仿宋" w:hAnsi="仿宋" w:eastAsia="仿宋" w:cs="仿宋"/>
          <w:kern w:val="0"/>
          <w:sz w:val="24"/>
          <w:highlight w:val="none"/>
        </w:rPr>
        <w:t>）技术和服务要求响应表</w:t>
      </w:r>
    </w:p>
    <w:p w14:paraId="071E140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kern w:val="0"/>
          <w:sz w:val="24"/>
          <w:highlight w:val="none"/>
          <w:lang w:val="en-US" w:eastAsia="zh-CN"/>
        </w:rPr>
        <w:t>0</w:t>
      </w:r>
      <w:r>
        <w:rPr>
          <w:rFonts w:hint="eastAsia" w:ascii="仿宋" w:hAnsi="仿宋" w:eastAsia="仿宋" w:cs="仿宋"/>
          <w:kern w:val="0"/>
          <w:sz w:val="24"/>
          <w:highlight w:val="none"/>
        </w:rPr>
        <w:t>）商务条件和</w:t>
      </w:r>
      <w:r>
        <w:rPr>
          <w:rFonts w:hint="eastAsia" w:ascii="仿宋" w:hAnsi="仿宋" w:eastAsia="仿宋" w:cs="仿宋"/>
          <w:kern w:val="0"/>
          <w:sz w:val="24"/>
          <w:highlight w:val="none"/>
          <w:lang w:eastAsia="zh-CN"/>
        </w:rPr>
        <w:t>其他</w:t>
      </w:r>
      <w:r>
        <w:rPr>
          <w:rFonts w:hint="eastAsia" w:ascii="仿宋" w:hAnsi="仿宋" w:eastAsia="仿宋" w:cs="仿宋"/>
          <w:kern w:val="0"/>
          <w:sz w:val="24"/>
          <w:highlight w:val="none"/>
        </w:rPr>
        <w:t>事项响应表</w:t>
      </w:r>
    </w:p>
    <w:p w14:paraId="37730E0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r>
        <w:rPr>
          <w:rFonts w:hint="eastAsia" w:ascii="仿宋" w:hAnsi="仿宋" w:eastAsia="仿宋" w:cs="仿宋"/>
          <w:kern w:val="0"/>
          <w:sz w:val="24"/>
          <w:highlight w:val="none"/>
          <w:lang w:val="en-US" w:eastAsia="zh-CN"/>
        </w:rPr>
        <w:t>11</w:t>
      </w:r>
      <w:r>
        <w:rPr>
          <w:rFonts w:hint="eastAsia" w:ascii="仿宋" w:hAnsi="仿宋" w:eastAsia="仿宋" w:cs="仿宋"/>
          <w:kern w:val="0"/>
          <w:sz w:val="24"/>
          <w:highlight w:val="none"/>
        </w:rPr>
        <w:t>）相关技术、商务、服务响应承诺及资料</w:t>
      </w:r>
    </w:p>
    <w:p w14:paraId="3FA21DA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）价格扣除的证明材料（若有）</w:t>
      </w:r>
    </w:p>
    <w:p w14:paraId="6386C3F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kern w:val="0"/>
          <w:sz w:val="24"/>
          <w:highlight w:val="none"/>
          <w:lang w:val="en-US" w:eastAsia="zh-CN"/>
        </w:rPr>
        <w:t>3</w:t>
      </w:r>
      <w:r>
        <w:rPr>
          <w:rFonts w:hint="eastAsia" w:ascii="仿宋" w:hAnsi="仿宋" w:eastAsia="仿宋" w:cs="仿宋"/>
          <w:kern w:val="0"/>
          <w:sz w:val="24"/>
          <w:highlight w:val="none"/>
        </w:rPr>
        <w:t>）要求作为响应文件组成部分的其他内容（若有）</w:t>
      </w:r>
    </w:p>
    <w:p w14:paraId="0011E7E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2.据此函，我方宣布响应承诺如下：</w:t>
      </w:r>
    </w:p>
    <w:p w14:paraId="7D44414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2.1我方已详细审查全部竞争性磋商文件，包括澄清、修改、补充或更正文件（如有的话）和有关附件，我方完全熟悉和理解其中的要求、条款和条件，且无任何异议。除了我方已在技术和商务偏离表中列出的负偏差和不响应外，我方承诺将按竞争性磋商文件的各项规定履行合同责任和义务。竞争性磋商文件及其附件资料如果有涉及应当保密的内容，我方将严格遵守规定，不将应当保密的内容泄密给第三方或另作</w:t>
      </w:r>
      <w:r>
        <w:rPr>
          <w:rFonts w:hint="eastAsia" w:ascii="仿宋" w:hAnsi="仿宋" w:eastAsia="仿宋" w:cs="仿宋"/>
          <w:kern w:val="0"/>
          <w:sz w:val="24"/>
          <w:highlight w:val="none"/>
          <w:lang w:val="en-US" w:eastAsia="zh-CN"/>
        </w:rPr>
        <w:t>他</w:t>
      </w:r>
      <w:r>
        <w:rPr>
          <w:rFonts w:hint="eastAsia" w:ascii="仿宋" w:hAnsi="仿宋" w:eastAsia="仿宋" w:cs="仿宋"/>
          <w:kern w:val="0"/>
          <w:sz w:val="24"/>
          <w:highlight w:val="none"/>
        </w:rPr>
        <w:t>用，如有违反，采购人可依法追究我方的法律责任。</w:t>
      </w:r>
    </w:p>
    <w:p w14:paraId="7C23596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2.2一旦我方获得成交，我方将按照竞争性磋商文件的要求和我方提交的响应文件（包括首次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p>
    <w:p w14:paraId="1CA4124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2.3我方承诺：递交的所有响应文件（包括首次响应文件、补充澄清、最后报价等响应文件）在竞争性磋商须知前附表第4项规定的响应文件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p>
    <w:p w14:paraId="725E757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2.4我方已经按照磋商文件要求提交磋商保证金。我方如果发生任何竞争性磋商文件中所述不予退还磋商保证金的情况，则我方的磋商保证金将被贵方不予退还，我方对此无异议。</w:t>
      </w:r>
    </w:p>
    <w:p w14:paraId="2AFB710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2.5我方愿意向贵方提供任何与本项目磋商采购有关的数据或资料。若贵方需要，我方愿意提供我方作出的一切承诺的证明材料。</w:t>
      </w:r>
    </w:p>
    <w:p w14:paraId="29F8009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2.6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p>
    <w:p w14:paraId="03D7951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5443610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684328D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通信地址</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u w:val="single"/>
        </w:rPr>
        <w:t>                                          .</w:t>
      </w:r>
    </w:p>
    <w:p w14:paraId="6EFF1FC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邮编：</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   传真号：</w:t>
      </w:r>
      <w:r>
        <w:rPr>
          <w:rFonts w:hint="eastAsia" w:ascii="仿宋" w:hAnsi="仿宋" w:eastAsia="仿宋" w:cs="仿宋"/>
          <w:kern w:val="0"/>
          <w:sz w:val="24"/>
          <w:highlight w:val="none"/>
          <w:u w:val="single"/>
        </w:rPr>
        <w:t>               .</w:t>
      </w:r>
    </w:p>
    <w:p w14:paraId="6CDE66E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联系电话（固定电话和移动电话）：</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w:t>
      </w:r>
    </w:p>
    <w:p w14:paraId="32CFEFD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w:t>
      </w:r>
      <w:r>
        <w:rPr>
          <w:rFonts w:hint="eastAsia" w:ascii="仿宋" w:hAnsi="仿宋" w:eastAsia="仿宋" w:cs="仿宋"/>
          <w:kern w:val="0"/>
          <w:sz w:val="24"/>
          <w:highlight w:val="none"/>
          <w:u w:val="single"/>
        </w:rPr>
        <w:t>             （签字）                  </w:t>
      </w:r>
    </w:p>
    <w:p w14:paraId="04CB1B8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供应商代表电子信箱：</w:t>
      </w:r>
      <w:r>
        <w:rPr>
          <w:rFonts w:hint="eastAsia" w:ascii="仿宋" w:hAnsi="仿宋" w:eastAsia="仿宋" w:cs="仿宋"/>
          <w:kern w:val="0"/>
          <w:sz w:val="24"/>
          <w:highlight w:val="none"/>
          <w:u w:val="single"/>
        </w:rPr>
        <w:t>                                   .</w:t>
      </w:r>
    </w:p>
    <w:p w14:paraId="4176D0B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w:t>
      </w:r>
      <w:r>
        <w:rPr>
          <w:rFonts w:hint="eastAsia" w:ascii="仿宋" w:hAnsi="仿宋" w:eastAsia="仿宋" w:cs="仿宋"/>
          <w:kern w:val="0"/>
          <w:sz w:val="24"/>
          <w:highlight w:val="none"/>
          <w:u w:val="single"/>
        </w:rPr>
        <w:t>         （全称并加盖公章）              .</w:t>
      </w:r>
    </w:p>
    <w:p w14:paraId="2977A76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  期：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107C3B0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241D6415">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 </w:t>
      </w:r>
    </w:p>
    <w:p w14:paraId="413C174C">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bCs/>
          <w:kern w:val="0"/>
          <w:sz w:val="24"/>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b/>
          <w:bCs/>
          <w:kern w:val="0"/>
          <w:sz w:val="24"/>
          <w:highlight w:val="none"/>
        </w:rPr>
        <w:t> </w:t>
      </w:r>
    </w:p>
    <w:p w14:paraId="3BB8E72B">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二、报价一览表</w:t>
      </w:r>
    </w:p>
    <w:p w14:paraId="28886AC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2338D474">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（全称加盖单位公章）</w:t>
      </w:r>
      <w:r>
        <w:rPr>
          <w:rFonts w:hint="eastAsia" w:ascii="仿宋" w:hAnsi="仿宋" w:eastAsia="仿宋" w:cs="仿宋"/>
          <w:kern w:val="0"/>
          <w:sz w:val="24"/>
          <w:highlight w:val="none"/>
        </w:rPr>
        <w:t>项目编号∶</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 货币单位：元人民币</w:t>
      </w:r>
    </w:p>
    <w:tbl>
      <w:tblPr>
        <w:tblStyle w:val="19"/>
        <w:tblW w:w="988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039"/>
        <w:gridCol w:w="2384"/>
        <w:gridCol w:w="6462"/>
      </w:tblGrid>
      <w:tr w14:paraId="789AEB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4" w:hRule="atLeast"/>
          <w:jc w:val="center"/>
        </w:trPr>
        <w:tc>
          <w:tcPr>
            <w:tcW w:w="1039" w:type="dxa"/>
            <w:shd w:val="clear" w:color="auto" w:fill="auto"/>
            <w:vAlign w:val="center"/>
          </w:tcPr>
          <w:p w14:paraId="5F868EC7">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宋体"/>
                <w:kern w:val="0"/>
                <w:sz w:val="24"/>
                <w:szCs w:val="24"/>
                <w:highlight w:val="none"/>
                <w:lang w:val="en-US" w:eastAsia="zh-CN" w:bidi="ar-SA"/>
              </w:rPr>
            </w:pPr>
            <w:r>
              <w:rPr>
                <w:rFonts w:ascii="仿宋" w:hAnsi="仿宋" w:eastAsia="仿宋" w:cs="宋体"/>
                <w:kern w:val="0"/>
                <w:sz w:val="24"/>
                <w:szCs w:val="24"/>
                <w:highlight w:val="none"/>
              </w:rPr>
              <w:t>采购包</w:t>
            </w:r>
          </w:p>
        </w:tc>
        <w:tc>
          <w:tcPr>
            <w:tcW w:w="2384" w:type="dxa"/>
            <w:shd w:val="clear" w:color="auto" w:fill="auto"/>
            <w:vAlign w:val="center"/>
          </w:tcPr>
          <w:p w14:paraId="0DDA9110">
            <w:pPr>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宋体"/>
                <w:kern w:val="0"/>
                <w:sz w:val="24"/>
                <w:szCs w:val="24"/>
                <w:highlight w:val="none"/>
                <w:lang w:val="en-US" w:eastAsia="zh-CN" w:bidi="ar-SA"/>
              </w:rPr>
            </w:pPr>
            <w:r>
              <w:rPr>
                <w:rFonts w:hint="eastAsia" w:ascii="仿宋" w:hAnsi="仿宋" w:eastAsia="仿宋" w:cs="宋体"/>
                <w:kern w:val="0"/>
                <w:sz w:val="24"/>
                <w:szCs w:val="24"/>
                <w:highlight w:val="none"/>
                <w:lang w:val="en-US" w:eastAsia="zh-CN"/>
              </w:rPr>
              <w:t>首次</w:t>
            </w:r>
            <w:r>
              <w:rPr>
                <w:rFonts w:ascii="仿宋" w:hAnsi="仿宋" w:eastAsia="仿宋" w:cs="宋体"/>
                <w:kern w:val="0"/>
                <w:sz w:val="24"/>
                <w:szCs w:val="24"/>
                <w:highlight w:val="none"/>
              </w:rPr>
              <w:t>报价</w:t>
            </w:r>
          </w:p>
        </w:tc>
        <w:tc>
          <w:tcPr>
            <w:tcW w:w="6462" w:type="dxa"/>
            <w:vAlign w:val="center"/>
          </w:tcPr>
          <w:p w14:paraId="79F90D78">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宋体"/>
                <w:kern w:val="0"/>
                <w:sz w:val="24"/>
                <w:szCs w:val="24"/>
                <w:highlight w:val="none"/>
                <w:lang w:val="en-US" w:eastAsia="zh-CN"/>
              </w:rPr>
            </w:pPr>
            <w:r>
              <w:rPr>
                <w:rFonts w:hint="eastAsia" w:ascii="仿宋" w:hAnsi="仿宋" w:eastAsia="仿宋" w:cs="宋体"/>
                <w:kern w:val="0"/>
                <w:sz w:val="24"/>
                <w:szCs w:val="24"/>
                <w:highlight w:val="none"/>
                <w:lang w:val="en-US" w:eastAsia="zh-CN"/>
              </w:rPr>
              <w:t>工期</w:t>
            </w:r>
          </w:p>
        </w:tc>
      </w:tr>
      <w:tr w14:paraId="571480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958" w:hRule="atLeast"/>
          <w:jc w:val="center"/>
        </w:trPr>
        <w:tc>
          <w:tcPr>
            <w:tcW w:w="1039" w:type="dxa"/>
            <w:vAlign w:val="center"/>
          </w:tcPr>
          <w:p w14:paraId="31213B7E">
            <w:pPr>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宋体"/>
                <w:kern w:val="0"/>
                <w:sz w:val="24"/>
                <w:szCs w:val="24"/>
                <w:highlight w:val="none"/>
              </w:rPr>
            </w:pPr>
          </w:p>
        </w:tc>
        <w:tc>
          <w:tcPr>
            <w:tcW w:w="2384" w:type="dxa"/>
            <w:vAlign w:val="center"/>
          </w:tcPr>
          <w:p w14:paraId="4835732F">
            <w:pPr>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宋体"/>
                <w:kern w:val="0"/>
                <w:sz w:val="24"/>
                <w:szCs w:val="24"/>
                <w:highlight w:val="none"/>
              </w:rPr>
            </w:pPr>
          </w:p>
        </w:tc>
        <w:tc>
          <w:tcPr>
            <w:tcW w:w="6462" w:type="dxa"/>
            <w:vAlign w:val="center"/>
          </w:tcPr>
          <w:p w14:paraId="27E41385">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宋体"/>
                <w:kern w:val="0"/>
                <w:sz w:val="24"/>
                <w:szCs w:val="24"/>
                <w:highlight w:val="none"/>
              </w:rPr>
            </w:pPr>
          </w:p>
        </w:tc>
      </w:tr>
      <w:tr w14:paraId="23DE92E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4" w:hRule="atLeast"/>
          <w:jc w:val="center"/>
        </w:trPr>
        <w:tc>
          <w:tcPr>
            <w:tcW w:w="9885" w:type="dxa"/>
            <w:gridSpan w:val="3"/>
            <w:vAlign w:val="center"/>
          </w:tcPr>
          <w:p w14:paraId="3C23624A">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宋体"/>
                <w:kern w:val="0"/>
                <w:sz w:val="24"/>
                <w:szCs w:val="24"/>
                <w:highlight w:val="none"/>
                <w:lang w:eastAsia="zh-CN"/>
              </w:rPr>
            </w:pPr>
            <w:r>
              <w:rPr>
                <w:rFonts w:hint="eastAsia" w:ascii="仿宋" w:hAnsi="仿宋" w:eastAsia="仿宋" w:cs="宋体"/>
                <w:kern w:val="0"/>
                <w:sz w:val="24"/>
                <w:szCs w:val="24"/>
                <w:highlight w:val="none"/>
                <w:lang w:val="en-US" w:eastAsia="zh-CN"/>
              </w:rPr>
              <w:t>首次</w:t>
            </w:r>
            <w:r>
              <w:rPr>
                <w:rFonts w:ascii="仿宋" w:hAnsi="仿宋" w:eastAsia="仿宋" w:cs="宋体"/>
                <w:kern w:val="0"/>
                <w:sz w:val="24"/>
                <w:szCs w:val="24"/>
                <w:highlight w:val="none"/>
              </w:rPr>
              <w:t>报价</w:t>
            </w:r>
            <w:r>
              <w:rPr>
                <w:rFonts w:hint="eastAsia" w:ascii="仿宋" w:hAnsi="仿宋" w:eastAsia="仿宋" w:cs="宋体"/>
                <w:kern w:val="0"/>
                <w:sz w:val="24"/>
                <w:szCs w:val="24"/>
                <w:highlight w:val="none"/>
                <w:lang w:eastAsia="zh-CN"/>
              </w:rPr>
              <w:t>（</w:t>
            </w:r>
            <w:r>
              <w:rPr>
                <w:rFonts w:hint="eastAsia" w:ascii="仿宋" w:hAnsi="仿宋" w:eastAsia="仿宋" w:cs="宋体"/>
                <w:kern w:val="0"/>
                <w:sz w:val="24"/>
                <w:szCs w:val="24"/>
                <w:highlight w:val="none"/>
                <w:lang w:val="en-US" w:eastAsia="zh-CN"/>
              </w:rPr>
              <w:t>大写</w:t>
            </w:r>
            <w:r>
              <w:rPr>
                <w:rFonts w:hint="eastAsia" w:ascii="仿宋" w:hAnsi="仿宋" w:eastAsia="仿宋" w:cs="宋体"/>
                <w:kern w:val="0"/>
                <w:sz w:val="24"/>
                <w:szCs w:val="24"/>
                <w:highlight w:val="none"/>
                <w:lang w:eastAsia="zh-CN"/>
              </w:rPr>
              <w:t>）：</w:t>
            </w:r>
          </w:p>
        </w:tc>
      </w:tr>
    </w:tbl>
    <w:p w14:paraId="6E06A40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5F936FF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备注：详细报价书另纸详列，格式自拟。</w:t>
      </w:r>
    </w:p>
    <w:p w14:paraId="6CB2D6F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供应商代表：</w:t>
      </w:r>
      <w:r>
        <w:rPr>
          <w:rFonts w:hint="eastAsia" w:ascii="仿宋" w:hAnsi="仿宋" w:eastAsia="仿宋" w:cs="仿宋"/>
          <w:kern w:val="0"/>
          <w:sz w:val="24"/>
          <w:highlight w:val="none"/>
          <w:u w:val="single"/>
        </w:rPr>
        <w:t>      （签字）</w:t>
      </w:r>
      <w:r>
        <w:rPr>
          <w:rFonts w:hint="eastAsia" w:ascii="仿宋" w:hAnsi="仿宋" w:eastAsia="仿宋" w:cs="仿宋"/>
          <w:kern w:val="0"/>
          <w:sz w:val="24"/>
          <w:highlight w:val="none"/>
        </w:rPr>
        <w:t>   </w:t>
      </w:r>
    </w:p>
    <w:p w14:paraId="7356B4B6">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p>
    <w:p w14:paraId="09307E7F">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三、详细报价书</w:t>
      </w:r>
    </w:p>
    <w:p w14:paraId="38B10630">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说明：</w:t>
      </w:r>
    </w:p>
    <w:p w14:paraId="6C754A1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1.各供应商应根据竞争性磋商文件的要求，在响应文件中提出为完成本项目相应</w:t>
      </w:r>
      <w:r>
        <w:rPr>
          <w:rFonts w:hint="eastAsia" w:ascii="仿宋" w:hAnsi="仿宋" w:eastAsia="仿宋" w:cs="仿宋"/>
          <w:kern w:val="0"/>
          <w:sz w:val="24"/>
          <w:highlight w:val="none"/>
          <w:lang w:eastAsia="zh-CN"/>
        </w:rPr>
        <w:t>采购包</w:t>
      </w:r>
      <w:r>
        <w:rPr>
          <w:rFonts w:hint="eastAsia" w:ascii="仿宋" w:hAnsi="仿宋" w:eastAsia="仿宋" w:cs="仿宋"/>
          <w:kern w:val="0"/>
          <w:sz w:val="24"/>
          <w:highlight w:val="none"/>
        </w:rPr>
        <w:t>工作所</w:t>
      </w:r>
      <w:r>
        <w:rPr>
          <w:rFonts w:hint="eastAsia" w:ascii="仿宋" w:hAnsi="仿宋" w:eastAsia="仿宋" w:cs="仿宋"/>
          <w:kern w:val="0"/>
          <w:sz w:val="24"/>
          <w:highlight w:val="none"/>
          <w:lang w:eastAsia="zh-CN"/>
        </w:rPr>
        <w:t>必须</w:t>
      </w:r>
      <w:r>
        <w:rPr>
          <w:rFonts w:hint="eastAsia" w:ascii="仿宋" w:hAnsi="仿宋" w:eastAsia="仿宋" w:cs="仿宋"/>
          <w:kern w:val="0"/>
          <w:sz w:val="24"/>
          <w:highlight w:val="none"/>
        </w:rPr>
        <w:t>包含的详细工作内容（如：详细具体货物或服务或工程量清单内容），并以此做出详细的报价书。详细报价书应做出详细完整的报价单价和合价，并汇总计算出报价总价。采购人或采购代理机构如果对详细报价书有统一格式要求的，可以进行规定或附表。如果没有特别要求的，则格式由供应商根据项目特点自行拟制。</w:t>
      </w:r>
    </w:p>
    <w:p w14:paraId="6DEC2C1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2.为完成相应</w:t>
      </w:r>
      <w:r>
        <w:rPr>
          <w:rFonts w:hint="eastAsia" w:ascii="仿宋" w:hAnsi="仿宋" w:eastAsia="仿宋" w:cs="仿宋"/>
          <w:kern w:val="0"/>
          <w:sz w:val="24"/>
          <w:highlight w:val="none"/>
          <w:lang w:eastAsia="zh-CN"/>
        </w:rPr>
        <w:t>采购包</w:t>
      </w:r>
      <w:r>
        <w:rPr>
          <w:rFonts w:hint="eastAsia" w:ascii="仿宋" w:hAnsi="仿宋" w:eastAsia="仿宋" w:cs="仿宋"/>
          <w:kern w:val="0"/>
          <w:sz w:val="24"/>
          <w:highlight w:val="none"/>
        </w:rPr>
        <w:t>项下的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已包含在详细报价书的其他单价或合价中，采购人在合同执行过程中，不再多还少补。</w:t>
      </w:r>
    </w:p>
    <w:p w14:paraId="2BF836C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对于不能详细列明采购标的的技术、服务要求的磋商采购项目或者如优惠率磋商、单价磋商等特殊类型的磋商采购项目，由供应商根据磋商文件的具体规定和项目特点提交详细报价书，采购人或采购代理机构如果对详细报价书有统一格式要求的，可以进行规定或附表。如果没有特别要求的，则格式由供应商根据项目特点自行拟制。</w:t>
      </w:r>
    </w:p>
    <w:p w14:paraId="0498AC2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002D55B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5F456C8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60B59FF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w:t>
      </w:r>
      <w:r>
        <w:rPr>
          <w:rFonts w:hint="eastAsia" w:ascii="仿宋" w:hAnsi="仿宋" w:eastAsia="仿宋" w:cs="仿宋"/>
          <w:kern w:val="0"/>
          <w:sz w:val="24"/>
          <w:highlight w:val="none"/>
          <w:u w:val="single"/>
        </w:rPr>
        <w:t>             （签字） </w:t>
      </w:r>
    </w:p>
    <w:p w14:paraId="66A932D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（全称并加盖公章）    .</w:t>
      </w:r>
    </w:p>
    <w:p w14:paraId="531C38D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  期：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17EF4F9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kern w:val="0"/>
          <w:sz w:val="24"/>
          <w:highlight w:val="none"/>
        </w:rPr>
        <w:t> </w:t>
      </w:r>
    </w:p>
    <w:p w14:paraId="5717937C">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四、资格证明文件 </w:t>
      </w:r>
    </w:p>
    <w:p w14:paraId="3072239A">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rPr>
      </w:pPr>
      <w:r>
        <w:rPr>
          <w:rFonts w:hint="eastAsia" w:ascii="仿宋" w:hAnsi="仿宋" w:eastAsia="仿宋"/>
          <w:sz w:val="28"/>
          <w:szCs w:val="28"/>
          <w:highlight w:val="none"/>
          <w:lang w:val="en-US" w:eastAsia="zh-CN"/>
        </w:rPr>
        <w:t>四-1</w:t>
      </w:r>
      <w:r>
        <w:rPr>
          <w:rFonts w:hint="eastAsia" w:ascii="仿宋" w:hAnsi="仿宋" w:eastAsia="仿宋"/>
          <w:sz w:val="28"/>
          <w:szCs w:val="28"/>
          <w:highlight w:val="none"/>
        </w:rPr>
        <w:t>参加竞争性磋商的声明函 </w:t>
      </w:r>
    </w:p>
    <w:p w14:paraId="4558872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1D7D6B07">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采购人或采购代理机构</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 </w:t>
      </w:r>
    </w:p>
    <w:p w14:paraId="50D227C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1、关于贵方______年______月______日</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项目（项目编号</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的采购公告（或采购邀请），本签字人代表供应商参加竞争性磋商，我方提供竞争性磋商文件中规定的相应资料和说明。本签字人确认响应文件中所有提交的文件、声明或资料（包括但不限于资格证明文件）是真实的、合法的、准确的、有效的。</w:t>
      </w:r>
    </w:p>
    <w:p w14:paraId="7F8ACA5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2、供应商的基本概况：</w:t>
      </w:r>
    </w:p>
    <w:p w14:paraId="2A359BF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u w:val="single"/>
        </w:rPr>
      </w:pPr>
      <w:r>
        <w:rPr>
          <w:rFonts w:hint="eastAsia" w:ascii="仿宋" w:hAnsi="仿宋" w:eastAsia="仿宋" w:cs="仿宋"/>
          <w:kern w:val="0"/>
          <w:sz w:val="24"/>
          <w:highlight w:val="none"/>
        </w:rPr>
        <w:t>2.1供应商单位名称：</w:t>
      </w:r>
      <w:r>
        <w:rPr>
          <w:rFonts w:hint="eastAsia" w:ascii="仿宋" w:hAnsi="仿宋" w:eastAsia="仿宋" w:cs="仿宋"/>
          <w:kern w:val="0"/>
          <w:sz w:val="24"/>
          <w:highlight w:val="none"/>
          <w:u w:val="single"/>
        </w:rPr>
        <w:t>                     </w:t>
      </w:r>
    </w:p>
    <w:p w14:paraId="25653BE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u w:val="single"/>
        </w:rPr>
      </w:pPr>
      <w:r>
        <w:rPr>
          <w:rFonts w:hint="eastAsia" w:ascii="仿宋" w:hAnsi="仿宋" w:eastAsia="仿宋" w:cs="仿宋"/>
          <w:kern w:val="0"/>
          <w:sz w:val="24"/>
          <w:highlight w:val="none"/>
        </w:rPr>
        <w:t>2.2注册地址：</w:t>
      </w:r>
      <w:r>
        <w:rPr>
          <w:rFonts w:hint="eastAsia" w:ascii="仿宋" w:hAnsi="仿宋" w:eastAsia="仿宋" w:cs="仿宋"/>
          <w:kern w:val="0"/>
          <w:sz w:val="24"/>
          <w:highlight w:val="none"/>
          <w:u w:val="single"/>
        </w:rPr>
        <w:t>                       </w:t>
      </w:r>
    </w:p>
    <w:p w14:paraId="74900F1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2.3单位负责人姓名：</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性别：</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年龄：</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职务：</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w:t>
      </w:r>
    </w:p>
    <w:p w14:paraId="42F79DC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备注：“单位负责人”指单位法定代表人（供应商为法人的）或法律、法规规定代表单位行使职权的主要负责人（供应商为其他组织的）。</w:t>
      </w:r>
    </w:p>
    <w:p w14:paraId="5968B11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对于接受联合体形式的磋商且供应商是联合体的，则联合体各成员都应当提交本资格证明文件。</w:t>
      </w:r>
    </w:p>
    <w:p w14:paraId="182651A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73428B8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416EF3F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w:t>
      </w:r>
      <w:r>
        <w:rPr>
          <w:rFonts w:hint="eastAsia" w:ascii="仿宋" w:hAnsi="仿宋" w:eastAsia="仿宋" w:cs="仿宋"/>
          <w:kern w:val="0"/>
          <w:sz w:val="24"/>
          <w:highlight w:val="none"/>
          <w:u w:val="single"/>
        </w:rPr>
        <w:t>             （签字） </w:t>
      </w:r>
    </w:p>
    <w:p w14:paraId="2FB9090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（全称并加盖公章） .</w:t>
      </w:r>
    </w:p>
    <w:p w14:paraId="33521F4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  期：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61C1993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kern w:val="0"/>
          <w:sz w:val="24"/>
          <w:highlight w:val="none"/>
        </w:rPr>
        <w:t> </w:t>
      </w:r>
    </w:p>
    <w:p w14:paraId="142D5D7B">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四-2单位负责人授权书</w:t>
      </w:r>
    </w:p>
    <w:p w14:paraId="063C34F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7D5C05B1">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采购人或采购代理机构</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 xml:space="preserve">       </w:t>
      </w:r>
    </w:p>
    <w:p w14:paraId="4AA3A77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我方的单位负责人</w:t>
      </w:r>
      <w:r>
        <w:rPr>
          <w:rFonts w:hint="eastAsia" w:ascii="仿宋" w:hAnsi="仿宋" w:eastAsia="仿宋" w:cs="仿宋"/>
          <w:kern w:val="0"/>
          <w:sz w:val="24"/>
          <w:highlight w:val="none"/>
          <w:u w:val="single"/>
        </w:rPr>
        <w:t>（填写“单位负责人全名”）</w:t>
      </w:r>
      <w:r>
        <w:rPr>
          <w:rFonts w:hint="eastAsia" w:ascii="仿宋" w:hAnsi="仿宋" w:eastAsia="仿宋" w:cs="仿宋"/>
          <w:kern w:val="0"/>
          <w:sz w:val="24"/>
          <w:highlight w:val="none"/>
        </w:rPr>
        <w:t>授权</w:t>
      </w:r>
      <w:r>
        <w:rPr>
          <w:rFonts w:hint="eastAsia" w:ascii="仿宋" w:hAnsi="仿宋" w:eastAsia="仿宋" w:cs="仿宋"/>
          <w:kern w:val="0"/>
          <w:sz w:val="24"/>
          <w:highlight w:val="none"/>
          <w:u w:val="single"/>
        </w:rPr>
        <w:t>（填写“供应商代表全名”）</w:t>
      </w:r>
      <w:r>
        <w:rPr>
          <w:rFonts w:hint="eastAsia" w:ascii="仿宋" w:hAnsi="仿宋" w:eastAsia="仿宋" w:cs="仿宋"/>
          <w:kern w:val="0"/>
          <w:sz w:val="24"/>
          <w:highlight w:val="none"/>
        </w:rPr>
        <w:t>为我方的供应商代表，代表我方参加</w:t>
      </w:r>
      <w:r>
        <w:rPr>
          <w:rFonts w:hint="eastAsia" w:ascii="仿宋" w:hAnsi="仿宋" w:eastAsia="仿宋" w:cs="仿宋"/>
          <w:kern w:val="0"/>
          <w:sz w:val="24"/>
          <w:highlight w:val="none"/>
          <w:u w:val="single"/>
        </w:rPr>
        <w:t>  （填写“项目名称”）   </w:t>
      </w:r>
      <w:r>
        <w:rPr>
          <w:rFonts w:hint="eastAsia" w:ascii="仿宋" w:hAnsi="仿宋" w:eastAsia="仿宋" w:cs="仿宋"/>
          <w:kern w:val="0"/>
          <w:sz w:val="24"/>
          <w:highlight w:val="none"/>
        </w:rPr>
        <w:t>项目（项目编号：</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的响应磋商，全权代表我方处理响应磋商过程的一切事宜，包括但不限于：递交响应文件、参与磋商、澄清、签约等工作。供应商代表在响应磋商过程中所签署的一切文件和处理与之有关的一切事务，我方均予以认可并对此承担责任。</w:t>
      </w:r>
    </w:p>
    <w:p w14:paraId="74287A3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供应商代表无转委权。特此授权。</w:t>
      </w:r>
    </w:p>
    <w:p w14:paraId="648A3F74">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（以下无正文）</w:t>
      </w:r>
    </w:p>
    <w:p w14:paraId="208FC771">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单位负责人：</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身份证号：</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手机：</w:t>
      </w:r>
      <w:r>
        <w:rPr>
          <w:rFonts w:hint="eastAsia" w:ascii="仿宋" w:hAnsi="仿宋" w:eastAsia="仿宋" w:cs="仿宋"/>
          <w:kern w:val="0"/>
          <w:sz w:val="24"/>
          <w:highlight w:val="none"/>
          <w:u w:val="single"/>
        </w:rPr>
        <w:t>           </w:t>
      </w:r>
    </w:p>
    <w:p w14:paraId="5FFBD6B2">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身份证号：</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手机：</w:t>
      </w:r>
      <w:r>
        <w:rPr>
          <w:rFonts w:hint="eastAsia" w:ascii="仿宋" w:hAnsi="仿宋" w:eastAsia="仿宋" w:cs="仿宋"/>
          <w:kern w:val="0"/>
          <w:sz w:val="24"/>
          <w:highlight w:val="none"/>
          <w:u w:val="single"/>
        </w:rPr>
        <w:t>           </w:t>
      </w:r>
    </w:p>
    <w:p w14:paraId="118A33F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7274CB1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授权方</w:t>
      </w:r>
    </w:p>
    <w:p w14:paraId="523561F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w:t>
      </w:r>
      <w:r>
        <w:rPr>
          <w:rFonts w:hint="eastAsia" w:ascii="仿宋" w:hAnsi="仿宋" w:eastAsia="仿宋" w:cs="仿宋"/>
          <w:kern w:val="0"/>
          <w:sz w:val="24"/>
          <w:highlight w:val="none"/>
          <w:u w:val="single"/>
        </w:rPr>
        <w:t>（全称并加盖单位公章）</w:t>
      </w:r>
    </w:p>
    <w:p w14:paraId="58CA38A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单位负责人签字或盖章：</w:t>
      </w:r>
      <w:r>
        <w:rPr>
          <w:rFonts w:hint="eastAsia" w:ascii="仿宋" w:hAnsi="仿宋" w:eastAsia="仿宋" w:cs="仿宋"/>
          <w:kern w:val="0"/>
          <w:sz w:val="24"/>
          <w:highlight w:val="none"/>
          <w:u w:val="single"/>
        </w:rPr>
        <w:t>                   </w:t>
      </w:r>
    </w:p>
    <w:p w14:paraId="0EA2516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5DE76B7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接受授权方</w:t>
      </w:r>
    </w:p>
    <w:p w14:paraId="0888EDB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供应商代表签字：</w:t>
      </w:r>
      <w:r>
        <w:rPr>
          <w:rFonts w:hint="eastAsia" w:ascii="仿宋" w:hAnsi="仿宋" w:eastAsia="仿宋" w:cs="仿宋"/>
          <w:kern w:val="0"/>
          <w:sz w:val="24"/>
          <w:highlight w:val="none"/>
          <w:u w:val="single"/>
        </w:rPr>
        <w:t>                   </w:t>
      </w:r>
    </w:p>
    <w:p w14:paraId="155B11EC">
      <w:pPr>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签署日期：</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748D9B1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43A2D20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附：单位负责人、供应商代表的身份证正反面复印件</w:t>
      </w:r>
    </w:p>
    <w:tbl>
      <w:tblPr>
        <w:tblStyle w:val="19"/>
        <w:tblW w:w="685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852"/>
      </w:tblGrid>
      <w:tr w14:paraId="1B9E2B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16" w:hRule="atLeast"/>
          <w:jc w:val="center"/>
        </w:trPr>
        <w:tc>
          <w:tcPr>
            <w:tcW w:w="6852" w:type="dxa"/>
          </w:tcPr>
          <w:p w14:paraId="7B9AF191">
            <w:pPr>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 </w:t>
            </w:r>
          </w:p>
          <w:p w14:paraId="6D12B27E">
            <w:pPr>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要求：真实、有效、清晰</w:t>
            </w:r>
          </w:p>
          <w:p w14:paraId="3662E3D2">
            <w:pPr>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 </w:t>
            </w:r>
          </w:p>
        </w:tc>
      </w:tr>
    </w:tbl>
    <w:p w14:paraId="703FC61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★注意：</w:t>
      </w:r>
    </w:p>
    <w:p w14:paraId="47CFB8C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1、企业（银行、保险、石油石化、电力、电信等行业除外）、事业单位和社会团体法人的“单位负责人”指</w:t>
      </w:r>
      <w:r>
        <w:rPr>
          <w:rFonts w:hint="eastAsia" w:ascii="仿宋" w:hAnsi="仿宋" w:eastAsia="仿宋" w:cs="仿宋"/>
          <w:b/>
          <w:bCs/>
          <w:kern w:val="0"/>
          <w:sz w:val="24"/>
          <w:highlight w:val="none"/>
        </w:rPr>
        <w:t>法定代表人</w:t>
      </w:r>
      <w:r>
        <w:rPr>
          <w:rFonts w:hint="eastAsia" w:ascii="仿宋" w:hAnsi="仿宋" w:eastAsia="仿宋" w:cs="仿宋"/>
          <w:kern w:val="0"/>
          <w:sz w:val="24"/>
          <w:highlight w:val="none"/>
        </w:rPr>
        <w:t>，即与实际提交的“营业执照等证明文件”载明的一致。</w:t>
      </w:r>
    </w:p>
    <w:p w14:paraId="5AF940B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2、银行、保险、石油石化、电力、电信等行业：以法人身份参加磋商的，“单位负责人”指</w:t>
      </w:r>
      <w:r>
        <w:rPr>
          <w:rFonts w:hint="eastAsia" w:ascii="仿宋" w:hAnsi="仿宋" w:eastAsia="仿宋" w:cs="仿宋"/>
          <w:b/>
          <w:bCs/>
          <w:kern w:val="0"/>
          <w:sz w:val="24"/>
          <w:highlight w:val="none"/>
        </w:rPr>
        <w:t>法定代表人</w:t>
      </w:r>
      <w:r>
        <w:rPr>
          <w:rFonts w:hint="eastAsia" w:ascii="仿宋" w:hAnsi="仿宋" w:eastAsia="仿宋" w:cs="仿宋"/>
          <w:kern w:val="0"/>
          <w:sz w:val="24"/>
          <w:highlight w:val="none"/>
        </w:rPr>
        <w:t>，即与实际提交的“营业执照等证明文件”载明的一致；以非法人身份参加磋商的，“单位负责人”指</w:t>
      </w:r>
      <w:r>
        <w:rPr>
          <w:rFonts w:hint="eastAsia" w:ascii="仿宋" w:hAnsi="仿宋" w:eastAsia="仿宋" w:cs="仿宋"/>
          <w:b/>
          <w:bCs/>
          <w:kern w:val="0"/>
          <w:sz w:val="24"/>
          <w:highlight w:val="none"/>
        </w:rPr>
        <w:t>代表单位行使职权的主要负责人</w:t>
      </w:r>
      <w:r>
        <w:rPr>
          <w:rFonts w:hint="eastAsia" w:ascii="仿宋" w:hAnsi="仿宋" w:eastAsia="仿宋" w:cs="仿宋"/>
          <w:kern w:val="0"/>
          <w:sz w:val="24"/>
          <w:highlight w:val="none"/>
        </w:rPr>
        <w:t>，即与实际提交的“营业执照等证明文件”载明的一致。</w:t>
      </w:r>
    </w:p>
    <w:p w14:paraId="42B2170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负责响应文件签字的供应商代表如果不是上述规定的单位负责人，则供应商应当在响应文件中提供本授权书，纸质响应文件正本中的本授权书应为原件。供应商为自然人的，可不填写本授权书，但应当提供其身份证正反面复印件。</w:t>
      </w:r>
    </w:p>
    <w:p w14:paraId="0FC6632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4、对于接受联合体形式的磋商且供应商是联合体的，则只需要联合体的牵头方提交本授权书，在纸质响应文件正本中的本授权书应为原件。</w:t>
      </w:r>
    </w:p>
    <w:p w14:paraId="4A1298A1">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p>
    <w:p w14:paraId="42C1AD7B">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四-3营业执照等证明文件</w:t>
      </w:r>
    </w:p>
    <w:p w14:paraId="6A4991C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072F906B">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采购人或采购代理机构</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 xml:space="preserve">        </w:t>
      </w:r>
    </w:p>
    <w:p w14:paraId="6CEA8D0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）供应商为法人（包括企业、事业单位和社会团体）的</w:t>
      </w:r>
    </w:p>
    <w:p w14:paraId="42AE615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现附上由</w:t>
      </w:r>
      <w:r>
        <w:rPr>
          <w:rFonts w:hint="eastAsia" w:ascii="仿宋" w:hAnsi="仿宋" w:eastAsia="仿宋" w:cs="仿宋"/>
          <w:kern w:val="0"/>
          <w:sz w:val="24"/>
          <w:highlight w:val="none"/>
          <w:u w:val="single"/>
        </w:rPr>
        <w:t>（填写“签发机关全称”）</w:t>
      </w:r>
      <w:r>
        <w:rPr>
          <w:rFonts w:hint="eastAsia" w:ascii="仿宋" w:hAnsi="仿宋" w:eastAsia="仿宋" w:cs="仿宋"/>
          <w:kern w:val="0"/>
          <w:sz w:val="24"/>
          <w:highlight w:val="none"/>
        </w:rPr>
        <w:t>签发的我方统一社会信用代码</w:t>
      </w:r>
      <w:r>
        <w:rPr>
          <w:rFonts w:hint="eastAsia" w:ascii="仿宋" w:hAnsi="仿宋" w:eastAsia="仿宋" w:cs="仿宋"/>
          <w:kern w:val="0"/>
          <w:sz w:val="24"/>
          <w:highlight w:val="none"/>
          <w:u w:val="single"/>
        </w:rPr>
        <w:t>（请填写法人的具体证照名称）</w:t>
      </w:r>
      <w:r>
        <w:rPr>
          <w:rFonts w:hint="eastAsia" w:ascii="仿宋" w:hAnsi="仿宋" w:eastAsia="仿宋" w:cs="仿宋"/>
          <w:kern w:val="0"/>
          <w:sz w:val="24"/>
          <w:highlight w:val="none"/>
        </w:rPr>
        <w:t>复印件，该证明材料真实有效，否则我方负全部责任。</w:t>
      </w:r>
    </w:p>
    <w:p w14:paraId="16B5E4C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）供应商为非法人（包括其他组织、自然人）的</w:t>
      </w:r>
    </w:p>
    <w:p w14:paraId="24AF67A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□现附上由</w:t>
      </w:r>
      <w:r>
        <w:rPr>
          <w:rFonts w:hint="eastAsia" w:ascii="仿宋" w:hAnsi="仿宋" w:eastAsia="仿宋" w:cs="仿宋"/>
          <w:kern w:val="0"/>
          <w:sz w:val="24"/>
          <w:highlight w:val="none"/>
          <w:u w:val="single"/>
        </w:rPr>
        <w:t>（填写“签发机关全称”）</w:t>
      </w:r>
      <w:r>
        <w:rPr>
          <w:rFonts w:hint="eastAsia" w:ascii="仿宋" w:hAnsi="仿宋" w:eastAsia="仿宋" w:cs="仿宋"/>
          <w:kern w:val="0"/>
          <w:sz w:val="24"/>
          <w:highlight w:val="none"/>
        </w:rPr>
        <w:t>签发的我方</w:t>
      </w:r>
      <w:r>
        <w:rPr>
          <w:rFonts w:hint="eastAsia" w:ascii="仿宋" w:hAnsi="仿宋" w:eastAsia="仿宋" w:cs="仿宋"/>
          <w:kern w:val="0"/>
          <w:sz w:val="24"/>
          <w:highlight w:val="none"/>
          <w:u w:val="single"/>
        </w:rPr>
        <w:t>（请填写非自然人的非法人的具体证照名称）</w:t>
      </w:r>
      <w:r>
        <w:rPr>
          <w:rFonts w:hint="eastAsia" w:ascii="仿宋" w:hAnsi="仿宋" w:eastAsia="仿宋" w:cs="仿宋"/>
          <w:kern w:val="0"/>
          <w:sz w:val="24"/>
          <w:highlight w:val="none"/>
        </w:rPr>
        <w:t>复印件，该证明材料真实有效，否则我方负全部责任。</w:t>
      </w:r>
    </w:p>
    <w:p w14:paraId="09C8D80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□现附上由</w:t>
      </w:r>
      <w:r>
        <w:rPr>
          <w:rFonts w:hint="eastAsia" w:ascii="仿宋" w:hAnsi="仿宋" w:eastAsia="仿宋" w:cs="仿宋"/>
          <w:kern w:val="0"/>
          <w:sz w:val="24"/>
          <w:highlight w:val="none"/>
          <w:u w:val="single"/>
        </w:rPr>
        <w:t>（填写“签发机关全称”）</w:t>
      </w:r>
      <w:r>
        <w:rPr>
          <w:rFonts w:hint="eastAsia" w:ascii="仿宋" w:hAnsi="仿宋" w:eastAsia="仿宋" w:cs="仿宋"/>
          <w:kern w:val="0"/>
          <w:sz w:val="24"/>
          <w:highlight w:val="none"/>
        </w:rPr>
        <w:t>签发的我方</w:t>
      </w:r>
      <w:r>
        <w:rPr>
          <w:rFonts w:hint="eastAsia" w:ascii="仿宋" w:hAnsi="仿宋" w:eastAsia="仿宋" w:cs="仿宋"/>
          <w:kern w:val="0"/>
          <w:sz w:val="24"/>
          <w:highlight w:val="none"/>
          <w:u w:val="single"/>
        </w:rPr>
        <w:t>（请填写自然人的身份证件名称）</w:t>
      </w:r>
      <w:r>
        <w:rPr>
          <w:rFonts w:hint="eastAsia" w:ascii="仿宋" w:hAnsi="仿宋" w:eastAsia="仿宋" w:cs="仿宋"/>
          <w:kern w:val="0"/>
          <w:sz w:val="24"/>
          <w:highlight w:val="none"/>
        </w:rPr>
        <w:t>复印件，该证明材料真实有效，否则我方负全部责任。</w:t>
      </w:r>
    </w:p>
    <w:p w14:paraId="4C47B13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10EAB50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★注意：</w:t>
      </w:r>
    </w:p>
    <w:p w14:paraId="74F4AFA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1、请供应商根据实际情况填写，在相应的（）中打“√”并选择相应的“□”（若有）后，再按照本格式的要求提供相应证明材料的复印件。</w:t>
      </w:r>
    </w:p>
    <w:p w14:paraId="6A165D7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p w14:paraId="48F2C56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3、供应商提供的相应证明材料复印件均应符合：内容完整、清晰、整洁，并由供应商加盖其单位公章。</w:t>
      </w:r>
    </w:p>
    <w:p w14:paraId="19DDCA0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4、对于接受联合体形式的磋商且供应商是联合体的，则联合体各成员都应当提交本资格证明文件。</w:t>
      </w:r>
    </w:p>
    <w:p w14:paraId="119B824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49186E5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w:t>
      </w:r>
      <w:r>
        <w:rPr>
          <w:rFonts w:hint="eastAsia" w:ascii="仿宋" w:hAnsi="仿宋" w:eastAsia="仿宋" w:cs="仿宋"/>
          <w:kern w:val="0"/>
          <w:sz w:val="24"/>
          <w:highlight w:val="none"/>
          <w:u w:val="single"/>
        </w:rPr>
        <w:t>             （签字） </w:t>
      </w:r>
    </w:p>
    <w:p w14:paraId="0C42565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（全称并加盖公章）  </w:t>
      </w:r>
    </w:p>
    <w:p w14:paraId="66ADE70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  期：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6D1D5F65">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四-4供应商的</w:t>
      </w:r>
      <w:r>
        <w:rPr>
          <w:rFonts w:hint="default" w:ascii="仿宋" w:hAnsi="仿宋" w:eastAsia="仿宋"/>
          <w:sz w:val="28"/>
          <w:szCs w:val="28"/>
          <w:highlight w:val="none"/>
        </w:rPr>
        <w:t>资格承诺函</w:t>
      </w:r>
    </w:p>
    <w:p w14:paraId="0F704540">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采购人或采购代理机构</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 </w:t>
      </w:r>
      <w:r>
        <w:rPr>
          <w:rFonts w:hint="eastAsia" w:ascii="仿宋" w:hAnsi="仿宋" w:eastAsia="仿宋" w:cs="仿宋"/>
          <w:sz w:val="24"/>
          <w:szCs w:val="24"/>
          <w:highlight w:val="none"/>
          <w:lang w:eastAsia="zh-CN"/>
        </w:rPr>
        <w:t>：</w:t>
      </w:r>
    </w:p>
    <w:p w14:paraId="0B2EEA8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自然人姓名</w:t>
      </w:r>
      <w:r>
        <w:rPr>
          <w:rFonts w:hint="eastAsia" w:ascii="仿宋" w:hAnsi="仿宋" w:eastAsia="仿宋" w:cs="仿宋"/>
          <w:sz w:val="24"/>
          <w:szCs w:val="24"/>
          <w:highlight w:val="none"/>
          <w:lang w:eastAsia="zh-CN"/>
        </w:rPr>
        <w:t>）：</w:t>
      </w:r>
      <w:r>
        <w:rPr>
          <w:rFonts w:hint="eastAsia" w:ascii="仿宋" w:hAnsi="仿宋" w:eastAsia="仿宋" w:cs="仿宋"/>
          <w:kern w:val="0"/>
          <w:sz w:val="24"/>
          <w:highlight w:val="none"/>
          <w:u w:val="single"/>
        </w:rPr>
        <w:t>                       </w:t>
      </w:r>
    </w:p>
    <w:p w14:paraId="7941D34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统一社会信用代码</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身份证号码</w:t>
      </w:r>
      <w:r>
        <w:rPr>
          <w:rFonts w:hint="eastAsia" w:ascii="仿宋" w:hAnsi="仿宋" w:eastAsia="仿宋" w:cs="仿宋"/>
          <w:sz w:val="24"/>
          <w:szCs w:val="24"/>
          <w:highlight w:val="none"/>
          <w:lang w:eastAsia="zh-CN"/>
        </w:rPr>
        <w:t>）：</w:t>
      </w:r>
      <w:r>
        <w:rPr>
          <w:rFonts w:hint="eastAsia" w:ascii="仿宋" w:hAnsi="仿宋" w:eastAsia="仿宋" w:cs="仿宋"/>
          <w:kern w:val="0"/>
          <w:sz w:val="24"/>
          <w:highlight w:val="none"/>
          <w:u w:val="single"/>
        </w:rPr>
        <w:t>                       </w:t>
      </w:r>
    </w:p>
    <w:p w14:paraId="4C6A208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负责人</w:t>
      </w:r>
      <w:r>
        <w:rPr>
          <w:rFonts w:hint="eastAsia" w:ascii="仿宋" w:hAnsi="仿宋" w:eastAsia="仿宋" w:cs="仿宋"/>
          <w:sz w:val="24"/>
          <w:szCs w:val="24"/>
          <w:highlight w:val="none"/>
          <w:lang w:eastAsia="zh-CN"/>
        </w:rPr>
        <w:t>）：</w:t>
      </w:r>
      <w:r>
        <w:rPr>
          <w:rFonts w:hint="eastAsia" w:ascii="仿宋" w:hAnsi="仿宋" w:eastAsia="仿宋" w:cs="仿宋"/>
          <w:kern w:val="0"/>
          <w:sz w:val="24"/>
          <w:highlight w:val="none"/>
          <w:u w:val="single"/>
        </w:rPr>
        <w:t>                       </w:t>
      </w:r>
    </w:p>
    <w:p w14:paraId="7ADDCD3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联系地址和电话</w:t>
      </w:r>
      <w:r>
        <w:rPr>
          <w:rFonts w:hint="eastAsia" w:ascii="仿宋" w:hAnsi="仿宋" w:eastAsia="仿宋" w:cs="仿宋"/>
          <w:sz w:val="24"/>
          <w:szCs w:val="24"/>
          <w:highlight w:val="none"/>
          <w:lang w:eastAsia="zh-CN"/>
        </w:rPr>
        <w:t>：</w:t>
      </w:r>
      <w:r>
        <w:rPr>
          <w:rFonts w:hint="eastAsia" w:ascii="仿宋" w:hAnsi="仿宋" w:eastAsia="仿宋" w:cs="仿宋"/>
          <w:kern w:val="0"/>
          <w:sz w:val="24"/>
          <w:highlight w:val="none"/>
          <w:u w:val="single"/>
        </w:rPr>
        <w:t>                       </w:t>
      </w:r>
    </w:p>
    <w:p w14:paraId="7C092E56">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p w14:paraId="15A75B9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我单位</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自愿参加本次采购活动，严格遵守《中华人民共和国政府采购法》及相关法律法规，坚守公开、公平公正和诚实信用等原则，依法诚信经营，并郑重承诺</w:t>
      </w:r>
      <w:r>
        <w:rPr>
          <w:rFonts w:hint="eastAsia" w:ascii="仿宋" w:hAnsi="仿宋" w:eastAsia="仿宋" w:cs="仿宋"/>
          <w:sz w:val="24"/>
          <w:szCs w:val="24"/>
          <w:highlight w:val="none"/>
          <w:lang w:eastAsia="zh-CN"/>
        </w:rPr>
        <w:t>：</w:t>
      </w:r>
    </w:p>
    <w:p w14:paraId="4CAC62C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一、我单位</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具备</w:t>
      </w:r>
      <w:r>
        <w:rPr>
          <w:rFonts w:hint="eastAsia" w:ascii="仿宋" w:hAnsi="仿宋" w:eastAsia="仿宋" w:cs="仿宋"/>
          <w:sz w:val="24"/>
          <w:szCs w:val="24"/>
          <w:highlight w:val="none"/>
        </w:rPr>
        <w:t>采购文件要求以及《中华人民共和国政府采购法》第二十二条规定的条件</w:t>
      </w:r>
      <w:r>
        <w:rPr>
          <w:rFonts w:hint="eastAsia" w:ascii="仿宋" w:hAnsi="仿宋" w:eastAsia="仿宋" w:cs="仿宋"/>
          <w:sz w:val="24"/>
          <w:szCs w:val="24"/>
          <w:highlight w:val="none"/>
          <w:lang w:eastAsia="zh-CN"/>
        </w:rPr>
        <w:t>：</w:t>
      </w:r>
    </w:p>
    <w:p w14:paraId="42F855D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1.具有独立承担民事责任的能力</w:t>
      </w:r>
      <w:r>
        <w:rPr>
          <w:rFonts w:hint="eastAsia" w:ascii="仿宋" w:hAnsi="仿宋" w:eastAsia="仿宋" w:cs="仿宋"/>
          <w:sz w:val="24"/>
          <w:szCs w:val="24"/>
          <w:highlight w:val="none"/>
          <w:lang w:eastAsia="zh-CN"/>
        </w:rPr>
        <w:t>；</w:t>
      </w:r>
    </w:p>
    <w:p w14:paraId="509442E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2.具有良好的商业信誉和健全的财务会计制度</w:t>
      </w:r>
      <w:r>
        <w:rPr>
          <w:rFonts w:hint="eastAsia" w:ascii="仿宋" w:hAnsi="仿宋" w:eastAsia="仿宋" w:cs="仿宋"/>
          <w:sz w:val="24"/>
          <w:szCs w:val="24"/>
          <w:highlight w:val="none"/>
          <w:lang w:eastAsia="zh-CN"/>
        </w:rPr>
        <w:t>；</w:t>
      </w:r>
    </w:p>
    <w:p w14:paraId="6212053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3.具有履行合同所必需的设备和专业技术能力</w:t>
      </w:r>
      <w:r>
        <w:rPr>
          <w:rFonts w:hint="eastAsia" w:ascii="仿宋" w:hAnsi="仿宋" w:eastAsia="仿宋" w:cs="仿宋"/>
          <w:sz w:val="24"/>
          <w:szCs w:val="24"/>
          <w:highlight w:val="none"/>
          <w:lang w:eastAsia="zh-CN"/>
        </w:rPr>
        <w:t>；</w:t>
      </w:r>
    </w:p>
    <w:p w14:paraId="7BA5102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4.有依法缴纳税收和社会保障资金的良好记录</w:t>
      </w:r>
      <w:r>
        <w:rPr>
          <w:rFonts w:hint="eastAsia" w:ascii="仿宋" w:hAnsi="仿宋" w:eastAsia="仿宋" w:cs="仿宋"/>
          <w:sz w:val="24"/>
          <w:szCs w:val="24"/>
          <w:highlight w:val="none"/>
          <w:lang w:eastAsia="zh-CN"/>
        </w:rPr>
        <w:t>；</w:t>
      </w:r>
    </w:p>
    <w:p w14:paraId="0C2AE6D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5.参加政府采购活动前三年内，在经营活动中没有重大违法记录</w:t>
      </w:r>
      <w:r>
        <w:rPr>
          <w:rFonts w:hint="eastAsia" w:ascii="仿宋" w:hAnsi="仿宋" w:eastAsia="仿宋" w:cs="仿宋"/>
          <w:sz w:val="24"/>
          <w:szCs w:val="24"/>
          <w:highlight w:val="none"/>
          <w:lang w:eastAsia="zh-CN"/>
        </w:rPr>
        <w:t>；</w:t>
      </w:r>
    </w:p>
    <w:p w14:paraId="6ED7FBA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eastAsia="zh-CN"/>
        </w:rPr>
        <w:t>法律、行政法规规定的其他条件。</w:t>
      </w:r>
    </w:p>
    <w:p w14:paraId="306119A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70DEE97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我单位</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对本承诺函及所承诺事项的真实性、合法性及有效性负责，并已知晓如所作信用承诺不实，可能涉嫌“提供虚假材料谋取中标成交”违法情形。经调查属实的，愿意接受</w:t>
      </w:r>
      <w:r>
        <w:rPr>
          <w:rFonts w:hint="eastAsia" w:ascii="仿宋" w:hAnsi="仿宋" w:eastAsia="仿宋" w:cs="仿宋"/>
          <w:sz w:val="24"/>
          <w:szCs w:val="24"/>
          <w:highlight w:val="none"/>
          <w:lang w:val="en-US" w:eastAsia="zh-CN"/>
        </w:rPr>
        <w:t>并按照</w:t>
      </w:r>
      <w:r>
        <w:rPr>
          <w:rFonts w:hint="eastAsia" w:ascii="仿宋" w:hAnsi="仿宋" w:eastAsia="仿宋" w:cs="仿宋"/>
          <w:sz w:val="24"/>
          <w:szCs w:val="24"/>
          <w:highlight w:val="none"/>
          <w:lang w:eastAsia="zh-CN"/>
        </w:rPr>
        <w:t>法律法规有关</w:t>
      </w:r>
      <w:r>
        <w:rPr>
          <w:rFonts w:hint="eastAsia" w:ascii="仿宋" w:hAnsi="仿宋" w:eastAsia="仿宋" w:cs="仿宋"/>
          <w:sz w:val="24"/>
          <w:szCs w:val="24"/>
          <w:highlight w:val="none"/>
          <w:lang w:val="en-US" w:eastAsia="zh-CN"/>
        </w:rPr>
        <w:t>规定</w:t>
      </w:r>
      <w:r>
        <w:rPr>
          <w:rFonts w:hint="eastAsia" w:ascii="仿宋" w:hAnsi="仿宋" w:eastAsia="仿宋" w:cs="仿宋"/>
          <w:sz w:val="24"/>
          <w:szCs w:val="24"/>
          <w:highlight w:val="none"/>
        </w:rPr>
        <w:t>处理。</w:t>
      </w:r>
    </w:p>
    <w:p w14:paraId="6CA56B9C">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p w14:paraId="219CDAC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w:t>
      </w:r>
      <w:r>
        <w:rPr>
          <w:rFonts w:hint="eastAsia" w:ascii="仿宋" w:hAnsi="仿宋" w:eastAsia="仿宋" w:cs="仿宋"/>
          <w:kern w:val="0"/>
          <w:sz w:val="24"/>
          <w:highlight w:val="none"/>
          <w:u w:val="single"/>
        </w:rPr>
        <w:t>             （签字） </w:t>
      </w:r>
    </w:p>
    <w:p w14:paraId="6BF859C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（全称并加盖公章） .</w:t>
      </w:r>
    </w:p>
    <w:p w14:paraId="1EA6079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  期：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797BA7A4">
      <w:pPr>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sz w:val="24"/>
          <w:szCs w:val="24"/>
          <w:highlight w:val="none"/>
        </w:rPr>
      </w:pPr>
    </w:p>
    <w:p w14:paraId="49FE1160">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注</w:t>
      </w:r>
      <w:r>
        <w:rPr>
          <w:rFonts w:hint="eastAsia" w:ascii="仿宋" w:hAnsi="仿宋" w:eastAsia="仿宋" w:cs="仿宋"/>
          <w:b/>
          <w:bCs/>
          <w:sz w:val="24"/>
          <w:szCs w:val="24"/>
          <w:highlight w:val="none"/>
          <w:lang w:eastAsia="zh-CN"/>
        </w:rPr>
        <w:t>：</w:t>
      </w:r>
    </w:p>
    <w:p w14:paraId="36EA23A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rPr>
        <w:t>1</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我单位</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本人</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专指参加采购活动的</w:t>
      </w:r>
      <w:r>
        <w:rPr>
          <w:rFonts w:hint="eastAsia" w:ascii="仿宋" w:hAnsi="仿宋" w:eastAsia="仿宋" w:cs="仿宋"/>
          <w:b w:val="0"/>
          <w:bCs w:val="0"/>
          <w:sz w:val="24"/>
          <w:szCs w:val="24"/>
          <w:highlight w:val="none"/>
          <w:lang w:val="en-US" w:eastAsia="zh-CN"/>
        </w:rPr>
        <w:t>供应商</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含自然人</w:t>
      </w:r>
      <w:r>
        <w:rPr>
          <w:rFonts w:hint="eastAsia" w:ascii="仿宋" w:hAnsi="仿宋" w:eastAsia="仿宋" w:cs="仿宋"/>
          <w:b w:val="0"/>
          <w:bCs w:val="0"/>
          <w:sz w:val="24"/>
          <w:szCs w:val="24"/>
          <w:highlight w:val="none"/>
          <w:lang w:eastAsia="zh-CN"/>
        </w:rPr>
        <w:t>）；</w:t>
      </w:r>
    </w:p>
    <w:p w14:paraId="24133C40">
      <w:pPr>
        <w:pageBreakBefore w:val="0"/>
        <w:widowControl w:val="0"/>
        <w:kinsoku/>
        <w:wordWrap/>
        <w:overflowPunct/>
        <w:topLinePunct w:val="0"/>
        <w:autoSpaceDE/>
        <w:autoSpaceDN/>
        <w:bidi w:val="0"/>
        <w:adjustRightInd/>
        <w:snapToGrid/>
        <w:spacing w:beforeLines="-2147483648" w:afterLines="-2147483648" w:line="360" w:lineRule="auto"/>
        <w:ind w:firstLine="480" w:firstLineChars="200"/>
        <w:jc w:val="left"/>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rPr>
        <w:t>2</w:t>
      </w:r>
      <w:r>
        <w:rPr>
          <w:rFonts w:hint="eastAsia" w:ascii="仿宋" w:hAnsi="仿宋" w:eastAsia="仿宋" w:cs="仿宋"/>
          <w:b w:val="0"/>
          <w:bCs w:val="0"/>
          <w:sz w:val="24"/>
          <w:szCs w:val="24"/>
          <w:highlight w:val="none"/>
          <w:lang w:eastAsia="zh-CN"/>
        </w:rPr>
        <w:t>、供应商可自行选择是否</w:t>
      </w:r>
      <w:r>
        <w:rPr>
          <w:rFonts w:hint="eastAsia" w:ascii="仿宋" w:hAnsi="仿宋" w:eastAsia="仿宋" w:cs="仿宋"/>
          <w:b w:val="0"/>
          <w:bCs w:val="0"/>
          <w:sz w:val="24"/>
          <w:szCs w:val="24"/>
          <w:highlight w:val="none"/>
        </w:rPr>
        <w:t>按此模板</w:t>
      </w:r>
      <w:r>
        <w:rPr>
          <w:rFonts w:hint="eastAsia" w:ascii="仿宋" w:hAnsi="仿宋" w:eastAsia="仿宋" w:cs="仿宋"/>
          <w:b w:val="0"/>
          <w:bCs w:val="0"/>
          <w:sz w:val="24"/>
          <w:szCs w:val="24"/>
          <w:highlight w:val="none"/>
          <w:lang w:eastAsia="zh-CN"/>
        </w:rPr>
        <w:t>提供本承诺函，若不</w:t>
      </w:r>
      <w:r>
        <w:rPr>
          <w:rFonts w:hint="eastAsia" w:ascii="仿宋" w:hAnsi="仿宋" w:eastAsia="仿宋" w:cs="仿宋"/>
          <w:b w:val="0"/>
          <w:bCs w:val="0"/>
          <w:sz w:val="24"/>
          <w:szCs w:val="24"/>
          <w:highlight w:val="none"/>
        </w:rPr>
        <w:t>按此模板</w:t>
      </w:r>
      <w:r>
        <w:rPr>
          <w:rFonts w:hint="eastAsia" w:ascii="仿宋" w:hAnsi="仿宋" w:eastAsia="仿宋" w:cs="仿宋"/>
          <w:b w:val="0"/>
          <w:bCs w:val="0"/>
          <w:sz w:val="24"/>
          <w:szCs w:val="24"/>
          <w:highlight w:val="none"/>
          <w:lang w:eastAsia="zh-CN"/>
        </w:rPr>
        <w:t>提供本承诺函的，应按</w:t>
      </w:r>
      <w:r>
        <w:rPr>
          <w:rFonts w:hint="eastAsia" w:ascii="仿宋" w:hAnsi="仿宋" w:eastAsia="仿宋" w:cs="仿宋"/>
          <w:b w:val="0"/>
          <w:bCs w:val="0"/>
          <w:sz w:val="24"/>
          <w:szCs w:val="24"/>
          <w:highlight w:val="none"/>
          <w:lang w:val="en-US" w:eastAsia="zh-CN"/>
        </w:rPr>
        <w:t>磋商</w:t>
      </w:r>
      <w:r>
        <w:rPr>
          <w:rFonts w:hint="eastAsia" w:ascii="仿宋" w:hAnsi="仿宋" w:eastAsia="仿宋" w:cs="仿宋"/>
          <w:b w:val="0"/>
          <w:bCs w:val="0"/>
          <w:sz w:val="24"/>
          <w:szCs w:val="24"/>
          <w:highlight w:val="none"/>
          <w:lang w:eastAsia="zh-CN"/>
        </w:rPr>
        <w:t>文件要求提供相应的证明材料。</w:t>
      </w:r>
      <w:r>
        <w:rPr>
          <w:rFonts w:hint="eastAsia" w:ascii="仿宋" w:hAnsi="仿宋" w:eastAsia="仿宋" w:cs="仿宋"/>
          <w:b w:val="0"/>
          <w:bCs w:val="0"/>
          <w:sz w:val="24"/>
          <w:szCs w:val="24"/>
          <w:highlight w:val="none"/>
        </w:rPr>
        <w:t>否则，视为</w:t>
      </w:r>
      <w:r>
        <w:rPr>
          <w:rFonts w:hint="eastAsia" w:ascii="仿宋" w:hAnsi="仿宋" w:eastAsia="仿宋" w:cs="仿宋"/>
          <w:b w:val="0"/>
          <w:bCs w:val="0"/>
          <w:sz w:val="24"/>
          <w:szCs w:val="24"/>
          <w:highlight w:val="none"/>
          <w:lang w:eastAsia="zh-CN"/>
        </w:rPr>
        <w:t>未按照</w:t>
      </w:r>
      <w:r>
        <w:rPr>
          <w:rFonts w:hint="eastAsia" w:ascii="仿宋" w:hAnsi="仿宋" w:eastAsia="仿宋" w:cs="仿宋"/>
          <w:b w:val="0"/>
          <w:bCs w:val="0"/>
          <w:sz w:val="24"/>
          <w:szCs w:val="24"/>
          <w:highlight w:val="none"/>
          <w:lang w:val="en-US" w:eastAsia="zh-CN"/>
        </w:rPr>
        <w:t>磋商</w:t>
      </w:r>
      <w:r>
        <w:rPr>
          <w:rFonts w:hint="eastAsia" w:ascii="仿宋" w:hAnsi="仿宋" w:eastAsia="仿宋" w:cs="仿宋"/>
          <w:b w:val="0"/>
          <w:bCs w:val="0"/>
          <w:sz w:val="24"/>
          <w:szCs w:val="24"/>
          <w:highlight w:val="none"/>
          <w:lang w:eastAsia="zh-CN"/>
        </w:rPr>
        <w:t>文件规定提交供应商的资格证明文件，按资格审查不通过处理。</w:t>
      </w:r>
    </w:p>
    <w:p w14:paraId="6BA55127">
      <w:pPr>
        <w:pageBreakBefore w:val="0"/>
        <w:widowControl w:val="0"/>
        <w:kinsoku/>
        <w:wordWrap/>
        <w:overflowPunct/>
        <w:topLinePunct w:val="0"/>
        <w:autoSpaceDE/>
        <w:autoSpaceDN/>
        <w:bidi w:val="0"/>
        <w:adjustRightInd/>
        <w:snapToGrid/>
        <w:spacing w:beforeLines="-2147483648" w:afterLines="-2147483648" w:line="360" w:lineRule="auto"/>
        <w:ind w:firstLine="482" w:firstLineChars="200"/>
        <w:jc w:val="left"/>
        <w:textAlignment w:val="auto"/>
        <w:rPr>
          <w:rFonts w:hint="eastAsia" w:ascii="仿宋" w:hAnsi="仿宋" w:eastAsia="仿宋" w:cs="仿宋"/>
          <w:b/>
          <w:bCs/>
          <w:kern w:val="0"/>
          <w:sz w:val="24"/>
          <w:szCs w:val="24"/>
          <w:highlight w:val="none"/>
          <w:lang w:val="en-US" w:eastAsia="zh-CN"/>
        </w:rPr>
      </w:pPr>
      <w:r>
        <w:rPr>
          <w:rFonts w:hint="eastAsia" w:ascii="仿宋" w:hAnsi="仿宋" w:eastAsia="仿宋" w:cs="仿宋"/>
          <w:b/>
          <w:bCs/>
          <w:sz w:val="24"/>
          <w:szCs w:val="24"/>
          <w:highlight w:val="none"/>
          <w:lang w:val="en-US" w:eastAsia="zh-CN"/>
        </w:rPr>
        <w:t>3、供应商出具此资格承诺函，可不提供</w:t>
      </w:r>
      <w:r>
        <w:rPr>
          <w:rFonts w:hint="eastAsia" w:ascii="仿宋" w:hAnsi="仿宋" w:eastAsia="仿宋" w:cs="仿宋"/>
          <w:b/>
          <w:bCs/>
          <w:kern w:val="0"/>
          <w:sz w:val="24"/>
          <w:szCs w:val="24"/>
          <w:highlight w:val="none"/>
        </w:rPr>
        <w:t>（1）提供财务状况报告（财务报告或资信证明）；（2）具备履行合同所必需设备和专业技术能力的声明函；（3）依法缴纳税收证明材料；（4）依法缴纳社会保障资金证明材料；（5）参加采购活动前三年内在经营活动中没有重大违法记录的声明。</w:t>
      </w:r>
    </w:p>
    <w:p w14:paraId="0AB1E921">
      <w:pPr>
        <w:pageBreakBefore w:val="0"/>
        <w:widowControl w:val="0"/>
        <w:kinsoku/>
        <w:wordWrap/>
        <w:overflowPunct/>
        <w:topLinePunct w:val="0"/>
        <w:autoSpaceDE/>
        <w:autoSpaceDN/>
        <w:bidi w:val="0"/>
        <w:adjustRightInd/>
        <w:snapToGrid/>
        <w:spacing w:beforeLines="-2147483648" w:afterLines="-2147483648" w:line="360" w:lineRule="auto"/>
        <w:ind w:firstLine="482" w:firstLineChars="200"/>
        <w:jc w:val="left"/>
        <w:textAlignment w:val="auto"/>
        <w:rPr>
          <w:rFonts w:hint="eastAsia" w:ascii="仿宋" w:hAnsi="仿宋" w:eastAsia="仿宋" w:cs="仿宋"/>
          <w:b/>
          <w:bCs/>
          <w:kern w:val="0"/>
          <w:sz w:val="24"/>
          <w:szCs w:val="24"/>
          <w:highlight w:val="none"/>
          <w:lang w:val="en-US" w:eastAsia="zh-CN"/>
        </w:rPr>
      </w:pPr>
      <w:r>
        <w:rPr>
          <w:rFonts w:hint="eastAsia" w:ascii="仿宋" w:hAnsi="仿宋" w:eastAsia="仿宋" w:cs="仿宋"/>
          <w:b/>
          <w:bCs/>
          <w:sz w:val="24"/>
          <w:szCs w:val="24"/>
          <w:highlight w:val="none"/>
          <w:lang w:val="en-US" w:eastAsia="zh-CN"/>
        </w:rPr>
        <w:t>4、供应商出具此资格承诺函，还需提供营业执照等证明文件，并根据自身情况，提供</w:t>
      </w:r>
      <w:r>
        <w:rPr>
          <w:rFonts w:hint="eastAsia" w:ascii="仿宋" w:hAnsi="仿宋" w:eastAsia="仿宋" w:cs="仿宋"/>
          <w:b/>
          <w:bCs/>
          <w:kern w:val="0"/>
          <w:sz w:val="24"/>
          <w:szCs w:val="24"/>
          <w:highlight w:val="none"/>
          <w:lang w:val="en-US" w:eastAsia="zh-CN"/>
        </w:rPr>
        <w:t>单位授权书。</w:t>
      </w:r>
    </w:p>
    <w:p w14:paraId="3E6F11DF">
      <w:pPr>
        <w:pageBreakBefore w:val="0"/>
        <w:widowControl w:val="0"/>
        <w:kinsoku/>
        <w:wordWrap/>
        <w:overflowPunct/>
        <w:topLinePunct w:val="0"/>
        <w:autoSpaceDE/>
        <w:autoSpaceDN/>
        <w:bidi w:val="0"/>
        <w:adjustRightInd/>
        <w:snapToGrid/>
        <w:spacing w:beforeLines="-2147483648" w:afterLines="-2147483648" w:line="360" w:lineRule="auto"/>
        <w:ind w:firstLine="482" w:firstLineChars="200"/>
        <w:jc w:val="left"/>
        <w:textAlignment w:val="auto"/>
        <w:rPr>
          <w:rFonts w:hint="eastAsia" w:ascii="仿宋" w:hAnsi="仿宋" w:eastAsia="仿宋" w:cs="仿宋"/>
          <w:b/>
          <w:bCs/>
          <w:sz w:val="24"/>
          <w:szCs w:val="24"/>
          <w:highlight w:val="none"/>
          <w:lang w:eastAsia="zh-CN"/>
        </w:rPr>
      </w:pPr>
      <w:r>
        <w:rPr>
          <w:rFonts w:hint="eastAsia" w:ascii="仿宋" w:hAnsi="仿宋" w:eastAsia="仿宋" w:cs="仿宋"/>
          <w:b/>
          <w:bCs/>
          <w:kern w:val="0"/>
          <w:sz w:val="24"/>
          <w:szCs w:val="24"/>
          <w:highlight w:val="none"/>
          <w:lang w:val="en-US" w:eastAsia="zh-CN"/>
        </w:rPr>
        <w:t>5、如本项目有其他特定资格条件要求，供应商需在资格证明文件部分根据磋商文件的要求提供证明材料，</w:t>
      </w:r>
      <w:r>
        <w:rPr>
          <w:rFonts w:hint="eastAsia" w:ascii="仿宋" w:hAnsi="仿宋" w:eastAsia="仿宋" w:cs="仿宋"/>
          <w:b/>
          <w:bCs/>
          <w:sz w:val="24"/>
          <w:szCs w:val="24"/>
          <w:highlight w:val="none"/>
        </w:rPr>
        <w:t>否则，视为</w:t>
      </w:r>
      <w:r>
        <w:rPr>
          <w:rFonts w:hint="eastAsia" w:ascii="仿宋" w:hAnsi="仿宋" w:eastAsia="仿宋" w:cs="仿宋"/>
          <w:b/>
          <w:bCs/>
          <w:sz w:val="24"/>
          <w:szCs w:val="24"/>
          <w:highlight w:val="none"/>
          <w:lang w:eastAsia="zh-CN"/>
        </w:rPr>
        <w:t>未按照</w:t>
      </w:r>
      <w:r>
        <w:rPr>
          <w:rFonts w:hint="eastAsia" w:ascii="仿宋" w:hAnsi="仿宋" w:eastAsia="仿宋" w:cs="仿宋"/>
          <w:b/>
          <w:bCs/>
          <w:sz w:val="24"/>
          <w:szCs w:val="24"/>
          <w:highlight w:val="none"/>
          <w:lang w:val="en-US" w:eastAsia="zh-CN"/>
        </w:rPr>
        <w:t>磋商</w:t>
      </w:r>
      <w:r>
        <w:rPr>
          <w:rFonts w:hint="eastAsia" w:ascii="仿宋" w:hAnsi="仿宋" w:eastAsia="仿宋" w:cs="仿宋"/>
          <w:b/>
          <w:bCs/>
          <w:sz w:val="24"/>
          <w:szCs w:val="24"/>
          <w:highlight w:val="none"/>
          <w:lang w:eastAsia="zh-CN"/>
        </w:rPr>
        <w:t>文件规定提交供应商的资格证明文件，按资格审查不通过处理。</w:t>
      </w:r>
    </w:p>
    <w:p w14:paraId="4636F227">
      <w:pPr>
        <w:pageBreakBefore w:val="0"/>
        <w:widowControl w:val="0"/>
        <w:kinsoku/>
        <w:wordWrap/>
        <w:overflowPunct/>
        <w:topLinePunct w:val="0"/>
        <w:autoSpaceDE/>
        <w:autoSpaceDN/>
        <w:bidi w:val="0"/>
        <w:adjustRightInd/>
        <w:snapToGrid/>
        <w:spacing w:beforeLines="-2147483648" w:afterLines="-2147483648" w:line="360" w:lineRule="auto"/>
        <w:ind w:firstLine="482" w:firstLineChars="200"/>
        <w:jc w:val="left"/>
        <w:textAlignment w:val="auto"/>
        <w:rPr>
          <w:rFonts w:hint="eastAsia" w:ascii="仿宋" w:hAnsi="仿宋" w:eastAsia="仿宋" w:cs="仿宋"/>
          <w:b/>
          <w:bCs/>
          <w:kern w:val="0"/>
          <w:sz w:val="24"/>
          <w:szCs w:val="24"/>
          <w:highlight w:val="none"/>
          <w:lang w:val="en-US" w:eastAsia="zh-CN"/>
        </w:rPr>
      </w:pPr>
      <w:r>
        <w:rPr>
          <w:rFonts w:hint="eastAsia" w:ascii="仿宋" w:hAnsi="仿宋" w:eastAsia="仿宋" w:cs="仿宋"/>
          <w:b/>
          <w:bCs/>
          <w:kern w:val="0"/>
          <w:sz w:val="24"/>
          <w:szCs w:val="24"/>
          <w:highlight w:val="none"/>
          <w:lang w:val="en-US" w:eastAsia="zh-CN"/>
        </w:rPr>
        <w:t>6、如本项目为专门面向中小企业项目，供应商需在资格证明文件部分根据磋商文件的要求提供《中小企业声明函》，</w:t>
      </w:r>
      <w:r>
        <w:rPr>
          <w:rFonts w:hint="eastAsia" w:ascii="仿宋" w:hAnsi="仿宋" w:eastAsia="仿宋" w:cs="仿宋"/>
          <w:b/>
          <w:bCs/>
          <w:sz w:val="24"/>
          <w:szCs w:val="24"/>
          <w:highlight w:val="none"/>
        </w:rPr>
        <w:t>否则，视为</w:t>
      </w:r>
      <w:r>
        <w:rPr>
          <w:rFonts w:hint="eastAsia" w:ascii="仿宋" w:hAnsi="仿宋" w:eastAsia="仿宋" w:cs="仿宋"/>
          <w:b/>
          <w:bCs/>
          <w:sz w:val="24"/>
          <w:szCs w:val="24"/>
          <w:highlight w:val="none"/>
          <w:lang w:eastAsia="zh-CN"/>
        </w:rPr>
        <w:t>未按照</w:t>
      </w:r>
      <w:r>
        <w:rPr>
          <w:rFonts w:hint="eastAsia" w:ascii="仿宋" w:hAnsi="仿宋" w:eastAsia="仿宋" w:cs="仿宋"/>
          <w:b/>
          <w:bCs/>
          <w:sz w:val="24"/>
          <w:szCs w:val="24"/>
          <w:highlight w:val="none"/>
          <w:lang w:val="en-US" w:eastAsia="zh-CN"/>
        </w:rPr>
        <w:t>磋商</w:t>
      </w:r>
      <w:r>
        <w:rPr>
          <w:rFonts w:hint="eastAsia" w:ascii="仿宋" w:hAnsi="仿宋" w:eastAsia="仿宋" w:cs="仿宋"/>
          <w:b/>
          <w:bCs/>
          <w:sz w:val="24"/>
          <w:szCs w:val="24"/>
          <w:highlight w:val="none"/>
          <w:lang w:eastAsia="zh-CN"/>
        </w:rPr>
        <w:t>文件规定提交供应商的资格证明文件，按资格审查不通过处理</w:t>
      </w:r>
      <w:r>
        <w:rPr>
          <w:rFonts w:hint="eastAsia" w:ascii="仿宋" w:hAnsi="仿宋" w:eastAsia="仿宋" w:cs="仿宋"/>
          <w:b/>
          <w:bCs/>
          <w:kern w:val="0"/>
          <w:sz w:val="24"/>
          <w:szCs w:val="24"/>
          <w:highlight w:val="none"/>
          <w:lang w:val="en-US" w:eastAsia="zh-CN"/>
        </w:rPr>
        <w:t>。</w:t>
      </w:r>
    </w:p>
    <w:p w14:paraId="03B65849">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sectPr>
          <w:pgSz w:w="11906" w:h="16838"/>
          <w:pgMar w:top="1440" w:right="1080" w:bottom="1440" w:left="1080" w:header="851" w:footer="992" w:gutter="0"/>
          <w:cols w:space="0" w:num="1"/>
          <w:docGrid w:type="lines" w:linePitch="312" w:charSpace="0"/>
        </w:sectPr>
      </w:pPr>
    </w:p>
    <w:p w14:paraId="13D8DDAA">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财务状况报告</w:t>
      </w:r>
    </w:p>
    <w:p w14:paraId="70DFCA3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6C927851">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采购人或采购代理机构</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 xml:space="preserve">         </w:t>
      </w:r>
    </w:p>
    <w:p w14:paraId="75D1E12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）供应商提供财务报告的</w:t>
      </w:r>
    </w:p>
    <w:p w14:paraId="6374DAF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□企业适用：现附上我方</w:t>
      </w:r>
      <w:r>
        <w:rPr>
          <w:rFonts w:hint="eastAsia" w:ascii="仿宋" w:hAnsi="仿宋" w:eastAsia="仿宋" w:cs="仿宋"/>
          <w:kern w:val="0"/>
          <w:sz w:val="24"/>
          <w:highlight w:val="none"/>
          <w:u w:val="single"/>
        </w:rPr>
        <w:t>（填写“具体的年度、或半年度、或季度”）</w:t>
      </w:r>
      <w:r>
        <w:rPr>
          <w:rFonts w:hint="eastAsia" w:ascii="仿宋" w:hAnsi="仿宋" w:eastAsia="仿宋" w:cs="仿宋"/>
          <w:kern w:val="0"/>
          <w:sz w:val="24"/>
          <w:highlight w:val="none"/>
        </w:rPr>
        <w:t>财务报告复印件，包括资产负债表、利润表、现金流量表、所有者权益变动表及其附注（若有），上述证明材料真实有效，否则我方负全部责任。</w:t>
      </w:r>
    </w:p>
    <w:p w14:paraId="0075AFD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□事业单位适用：现附上我方</w:t>
      </w:r>
      <w:r>
        <w:rPr>
          <w:rFonts w:hint="eastAsia" w:ascii="仿宋" w:hAnsi="仿宋" w:eastAsia="仿宋" w:cs="仿宋"/>
          <w:kern w:val="0"/>
          <w:sz w:val="24"/>
          <w:highlight w:val="none"/>
          <w:u w:val="single"/>
        </w:rPr>
        <w:t>（填写“具体的年度、或半年度、或季度”）</w:t>
      </w:r>
      <w:r>
        <w:rPr>
          <w:rFonts w:hint="eastAsia" w:ascii="仿宋" w:hAnsi="仿宋" w:eastAsia="仿宋" w:cs="仿宋"/>
          <w:kern w:val="0"/>
          <w:sz w:val="24"/>
          <w:highlight w:val="none"/>
        </w:rPr>
        <w:t>财务报告复印件，包括资产负债表、收入支出表或收入费用表、财政补助收入支出表（若有），上述证明材料真实有效，否则我方负全部责任。</w:t>
      </w:r>
    </w:p>
    <w:p w14:paraId="7A081E9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□社会团体适用：现附上我方</w:t>
      </w:r>
      <w:r>
        <w:rPr>
          <w:rFonts w:hint="eastAsia" w:ascii="仿宋" w:hAnsi="仿宋" w:eastAsia="仿宋" w:cs="仿宋"/>
          <w:kern w:val="0"/>
          <w:sz w:val="24"/>
          <w:highlight w:val="none"/>
          <w:u w:val="single"/>
        </w:rPr>
        <w:t>（填写“具体的年度、或半年度、或季度”）</w:t>
      </w:r>
      <w:r>
        <w:rPr>
          <w:rFonts w:hint="eastAsia" w:ascii="仿宋" w:hAnsi="仿宋" w:eastAsia="仿宋" w:cs="仿宋"/>
          <w:kern w:val="0"/>
          <w:sz w:val="24"/>
          <w:highlight w:val="none"/>
        </w:rPr>
        <w:t>财务报告复印件，包括资产负债表、业务活动表、现金流量表，上述证明材料真实有效，否则我方负全部责任。</w:t>
      </w:r>
    </w:p>
    <w:p w14:paraId="7675D92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）供应商提供资信证明的</w:t>
      </w:r>
    </w:p>
    <w:p w14:paraId="7D91F1E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□非自然人适用：现附上我方银行：</w:t>
      </w:r>
      <w:r>
        <w:rPr>
          <w:rFonts w:hint="eastAsia" w:ascii="仿宋" w:hAnsi="仿宋" w:eastAsia="仿宋" w:cs="仿宋"/>
          <w:kern w:val="0"/>
          <w:sz w:val="24"/>
          <w:highlight w:val="none"/>
          <w:u w:val="single"/>
        </w:rPr>
        <w:t>（填写“开户银行全称”）</w:t>
      </w:r>
      <w:r>
        <w:rPr>
          <w:rFonts w:hint="eastAsia" w:ascii="仿宋" w:hAnsi="仿宋" w:eastAsia="仿宋" w:cs="仿宋"/>
          <w:kern w:val="0"/>
          <w:sz w:val="24"/>
          <w:highlight w:val="none"/>
        </w:rPr>
        <w:t>出具的资信证明复印件，上述证明材料真实有效，否则我方负全部责任。</w:t>
      </w:r>
    </w:p>
    <w:p w14:paraId="0F92BBE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□自然人适用：现附上我方银行：</w:t>
      </w:r>
      <w:r>
        <w:rPr>
          <w:rFonts w:hint="eastAsia" w:ascii="仿宋" w:hAnsi="仿宋" w:eastAsia="仿宋" w:cs="仿宋"/>
          <w:kern w:val="0"/>
          <w:sz w:val="24"/>
          <w:highlight w:val="none"/>
          <w:u w:val="single"/>
        </w:rPr>
        <w:t>（填写自然人的“个人账户的开户银行全称”）</w:t>
      </w:r>
      <w:r>
        <w:rPr>
          <w:rFonts w:hint="eastAsia" w:ascii="仿宋" w:hAnsi="仿宋" w:eastAsia="仿宋" w:cs="仿宋"/>
          <w:kern w:val="0"/>
          <w:sz w:val="24"/>
          <w:highlight w:val="none"/>
        </w:rPr>
        <w:t>出具的资信证明复印件，上述证明材料真实有效，否则我方负全部责任。</w:t>
      </w:r>
    </w:p>
    <w:p w14:paraId="418F55F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★注意事项：</w:t>
      </w:r>
    </w:p>
    <w:p w14:paraId="704E096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1、上文提供财务报告、资信证明共</w:t>
      </w:r>
      <w:r>
        <w:rPr>
          <w:rFonts w:hint="eastAsia" w:ascii="仿宋" w:hAnsi="仿宋" w:eastAsia="仿宋" w:cs="仿宋"/>
          <w:kern w:val="0"/>
          <w:sz w:val="24"/>
          <w:highlight w:val="none"/>
          <w:lang w:val="en-US" w:eastAsia="zh-CN"/>
        </w:rPr>
        <w:t>两</w:t>
      </w:r>
      <w:r>
        <w:rPr>
          <w:rFonts w:hint="eastAsia" w:ascii="仿宋" w:hAnsi="仿宋" w:eastAsia="仿宋" w:cs="仿宋"/>
          <w:kern w:val="0"/>
          <w:sz w:val="24"/>
          <w:highlight w:val="none"/>
        </w:rPr>
        <w:t>大类型，请供应商按照自身实际情况编制填写，在其中相应的（）中打“√”并选择相应的“□”（若有）后，再按照本格式的要求提供相应证明材料的复印件即可。即供应商符合上述</w:t>
      </w:r>
      <w:r>
        <w:rPr>
          <w:rFonts w:hint="eastAsia" w:ascii="仿宋" w:hAnsi="仿宋" w:eastAsia="仿宋" w:cs="仿宋"/>
          <w:kern w:val="0"/>
          <w:sz w:val="24"/>
          <w:highlight w:val="none"/>
          <w:lang w:val="en-US" w:eastAsia="zh-CN"/>
        </w:rPr>
        <w:t>两</w:t>
      </w:r>
      <w:r>
        <w:rPr>
          <w:rFonts w:hint="eastAsia" w:ascii="仿宋" w:hAnsi="仿宋" w:eastAsia="仿宋" w:cs="仿宋"/>
          <w:kern w:val="0"/>
          <w:sz w:val="24"/>
          <w:highlight w:val="none"/>
        </w:rPr>
        <w:t>大类型其中一种，并按要求提供相应证明资料即为满足。</w:t>
      </w:r>
    </w:p>
    <w:p w14:paraId="20F71D9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2、供应商提供的财务报告复印件（成立年限按照首次响应文件递交截止时间推算）应符合下列规定：</w:t>
      </w:r>
    </w:p>
    <w:p w14:paraId="4BB34B5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2.1成立年限满1年及以上的供应商，提供经审计的上一年度的年度财务报告。</w:t>
      </w:r>
    </w:p>
    <w:p w14:paraId="296EE9F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2.2成立年限满半年但不足1年的供应商，提供该半年度中任一季度的季度财务报告或该半年度的半年度财务报告。</w:t>
      </w:r>
    </w:p>
    <w:p w14:paraId="0A7B0DB1">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※无法按照本格式注意事项第2.1、2.2条规定提供财务报告复印件的供应商，应按照本格式注意事项的要求选择提供资信证明复印件。</w:t>
      </w:r>
    </w:p>
    <w:p w14:paraId="41F181B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3、“财政部门认可的政府采购专业担保机构”应符合《财政部关于开展政府采购信用担保试点工作方案》（财库</w:t>
      </w:r>
      <w:r>
        <w:rPr>
          <w:rFonts w:hint="eastAsia" w:ascii="仿宋" w:hAnsi="仿宋" w:eastAsia="仿宋" w:cs="仿宋"/>
          <w:kern w:val="0"/>
          <w:sz w:val="24"/>
          <w:highlight w:val="none"/>
          <w:lang w:eastAsia="zh-CN"/>
        </w:rPr>
        <w:t>〔2011〕124号</w:t>
      </w:r>
      <w:r>
        <w:rPr>
          <w:rFonts w:hint="eastAsia" w:ascii="仿宋" w:hAnsi="仿宋" w:eastAsia="仿宋" w:cs="仿宋"/>
          <w:kern w:val="0"/>
          <w:sz w:val="24"/>
          <w:highlight w:val="none"/>
        </w:rPr>
        <w:t>）的规定。</w:t>
      </w:r>
    </w:p>
    <w:p w14:paraId="26D6EA4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4、供应商提供的相应证明材料复印件均应符合：内容完整、清晰、整洁，并由供应商加盖其单位公章。</w:t>
      </w:r>
    </w:p>
    <w:p w14:paraId="649DB4F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5、对于接受联合体形式的磋商且供应商是联合体的，则联合体各成员都应当提交本资格证明文件。</w:t>
      </w:r>
    </w:p>
    <w:p w14:paraId="024F74DC">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 </w:t>
      </w:r>
    </w:p>
    <w:p w14:paraId="48A01CC3">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 </w:t>
      </w:r>
    </w:p>
    <w:p w14:paraId="674ACCE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440DE28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w:t>
      </w:r>
      <w:r>
        <w:rPr>
          <w:rFonts w:hint="eastAsia" w:ascii="仿宋" w:hAnsi="仿宋" w:eastAsia="仿宋" w:cs="仿宋"/>
          <w:kern w:val="0"/>
          <w:sz w:val="24"/>
          <w:highlight w:val="none"/>
          <w:u w:val="single"/>
        </w:rPr>
        <w:t>             （签字） </w:t>
      </w:r>
    </w:p>
    <w:p w14:paraId="7F22284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（全称并加盖公章）  </w:t>
      </w:r>
    </w:p>
    <w:p w14:paraId="6657500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  期：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4403294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p>
    <w:p w14:paraId="487BE4AA">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依法缴纳税收证明材料</w:t>
      </w:r>
    </w:p>
    <w:p w14:paraId="68A8ED0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472E35D6">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采购人或采购代理机构</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 xml:space="preserve">      </w:t>
      </w:r>
    </w:p>
    <w:p w14:paraId="3956A1AF">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1、依法缴纳税收的供应商</w:t>
      </w:r>
    </w:p>
    <w:p w14:paraId="6A74B7F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）法人（包括企业、事业单位和社会团体）的</w:t>
      </w:r>
    </w:p>
    <w:p w14:paraId="1215EEA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现附上自</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日至</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日期间我方缴纳的</w:t>
      </w:r>
      <w:r>
        <w:rPr>
          <w:rFonts w:hint="eastAsia" w:ascii="仿宋" w:hAnsi="仿宋" w:eastAsia="仿宋" w:cs="仿宋"/>
          <w:kern w:val="0"/>
          <w:sz w:val="24"/>
          <w:highlight w:val="none"/>
          <w:u w:val="single"/>
        </w:rPr>
        <w:t>（按照供应商实际缴纳的税种名称填写，如：增值税、所得税等）</w:t>
      </w:r>
      <w:r>
        <w:rPr>
          <w:rFonts w:hint="eastAsia" w:ascii="仿宋" w:hAnsi="仿宋" w:eastAsia="仿宋" w:cs="仿宋"/>
          <w:kern w:val="0"/>
          <w:sz w:val="24"/>
          <w:highlight w:val="none"/>
        </w:rPr>
        <w:t>税收凭据复印件，上述证明材料真实有效，否则我方负全部责任。</w:t>
      </w:r>
    </w:p>
    <w:p w14:paraId="0BA1FDE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）非法人（包括其他组织、自然人）的</w:t>
      </w:r>
    </w:p>
    <w:p w14:paraId="1272195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现附上自</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日至</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日期间我方缴纳的</w:t>
      </w:r>
      <w:r>
        <w:rPr>
          <w:rFonts w:hint="eastAsia" w:ascii="仿宋" w:hAnsi="仿宋" w:eastAsia="仿宋" w:cs="仿宋"/>
          <w:kern w:val="0"/>
          <w:sz w:val="24"/>
          <w:highlight w:val="none"/>
          <w:u w:val="single"/>
        </w:rPr>
        <w:t>（按照供应商实际缴纳的税种名称填写）</w:t>
      </w:r>
      <w:r>
        <w:rPr>
          <w:rFonts w:hint="eastAsia" w:ascii="仿宋" w:hAnsi="仿宋" w:eastAsia="仿宋" w:cs="仿宋"/>
          <w:kern w:val="0"/>
          <w:sz w:val="24"/>
          <w:highlight w:val="none"/>
        </w:rPr>
        <w:t>税收凭据复印件，上述证明材料真实有效，否则我方负全部责任。</w:t>
      </w:r>
    </w:p>
    <w:p w14:paraId="0CC5477E">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2、依法免税的供应商</w:t>
      </w:r>
    </w:p>
    <w:p w14:paraId="203CEA5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）现附上我方依法免税证明材料复印件，上述证明材料真实有效，否则我方负全部责任。</w:t>
      </w:r>
    </w:p>
    <w:p w14:paraId="4AE939D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6C8B983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★注意：</w:t>
      </w:r>
    </w:p>
    <w:p w14:paraId="3CA77F3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1、请供应商根据实际情况填写，在相应的（）中打“√”，并按照本格式的要求提供相应证明材料的复印件。</w:t>
      </w:r>
    </w:p>
    <w:p w14:paraId="7C8ADF9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2、供应商提供的税收凭据复印件应符合下列规定：</w:t>
      </w:r>
    </w:p>
    <w:p w14:paraId="3203188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2.1首次响应文件递交截止时间前（不含截止时间的当月）已依法缴纳税收的供应商，提供首次响应文件递交截止时间前六个月（不含截止时间的当月）中任一月份的税收凭据复印件。</w:t>
      </w:r>
    </w:p>
    <w:p w14:paraId="0C2F7EB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2.2首次响应文件递交截止时间的当月成立且已依法缴纳税收的供应商，提供截止时间当月的税收凭据复印件。</w:t>
      </w:r>
    </w:p>
    <w:p w14:paraId="76687FB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2.3首次响应文件递交截止时间的当月成立但因税务机关原因而尚未依法缴纳税收的供应商，提供依法缴纳税收承诺书原件（格式自拟），该承诺书视同税收凭据。</w:t>
      </w:r>
    </w:p>
    <w:p w14:paraId="54677BE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3、供应商提供的相应证明材料复印件均应符合：内容完整、清晰、整洁，并由供应商加盖其单位公章。</w:t>
      </w:r>
    </w:p>
    <w:p w14:paraId="3A7DFAB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4、</w:t>
      </w:r>
      <w:r>
        <w:rPr>
          <w:rFonts w:hint="eastAsia" w:ascii="仿宋" w:hAnsi="仿宋" w:eastAsia="仿宋" w:cs="仿宋"/>
          <w:b/>
          <w:bCs/>
          <w:kern w:val="0"/>
          <w:sz w:val="24"/>
          <w:highlight w:val="none"/>
        </w:rPr>
        <w:t>“依法缴纳税收证明材料”</w:t>
      </w:r>
      <w:r>
        <w:rPr>
          <w:rFonts w:hint="eastAsia" w:ascii="仿宋" w:hAnsi="仿宋" w:eastAsia="仿宋" w:cs="仿宋"/>
          <w:kern w:val="0"/>
          <w:sz w:val="24"/>
          <w:highlight w:val="none"/>
        </w:rPr>
        <w:t>有欠缴记录的，视为</w:t>
      </w:r>
      <w:r>
        <w:rPr>
          <w:rFonts w:hint="eastAsia" w:ascii="仿宋" w:hAnsi="仿宋" w:eastAsia="仿宋" w:cs="仿宋"/>
          <w:b/>
          <w:bCs/>
          <w:kern w:val="0"/>
          <w:sz w:val="24"/>
          <w:highlight w:val="none"/>
        </w:rPr>
        <w:t>未依法缴纳税收</w:t>
      </w:r>
      <w:r>
        <w:rPr>
          <w:rFonts w:hint="eastAsia" w:ascii="仿宋" w:hAnsi="仿宋" w:eastAsia="仿宋" w:cs="仿宋"/>
          <w:kern w:val="0"/>
          <w:sz w:val="24"/>
          <w:highlight w:val="none"/>
        </w:rPr>
        <w:t>。</w:t>
      </w:r>
    </w:p>
    <w:p w14:paraId="678E493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5、对于接受联合体形式的磋商且供应商是联合体的，则联合体各成员都应当提交本资格证明文件。</w:t>
      </w:r>
    </w:p>
    <w:p w14:paraId="190EEB7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662DD3A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w:t>
      </w:r>
      <w:r>
        <w:rPr>
          <w:rFonts w:hint="eastAsia" w:ascii="仿宋" w:hAnsi="仿宋" w:eastAsia="仿宋" w:cs="仿宋"/>
          <w:kern w:val="0"/>
          <w:sz w:val="24"/>
          <w:highlight w:val="none"/>
          <w:u w:val="single"/>
        </w:rPr>
        <w:t>             （签字） </w:t>
      </w:r>
    </w:p>
    <w:p w14:paraId="3FAB96A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（全称并加盖公章） </w:t>
      </w:r>
    </w:p>
    <w:p w14:paraId="73D2B9B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  期：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22B00E0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kern w:val="0"/>
          <w:sz w:val="24"/>
          <w:highlight w:val="none"/>
        </w:rPr>
        <w:t> </w:t>
      </w:r>
    </w:p>
    <w:p w14:paraId="7FF351F4">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依法缴纳社会保障资金证明材料</w:t>
      </w:r>
    </w:p>
    <w:p w14:paraId="4DA239B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28EF1BB4">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采购人或采购代理机构</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 xml:space="preserve">       </w:t>
      </w:r>
    </w:p>
    <w:p w14:paraId="14B83FC8">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1、依法缴纳社会保障资金的供应商</w:t>
      </w:r>
    </w:p>
    <w:p w14:paraId="71ACA9C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）法人（包括企业、事业单位和社会团体）的</w:t>
      </w:r>
    </w:p>
    <w:p w14:paraId="35B6E52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现附上自</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日至</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日我方缴纳的社会保险凭据（限：税务机关/社会保障资金管理机关的专用收据或社会保险缴纳清单，或社会保险的银行缴款收讫凭证）复印件，上述证明材料真实有效，否则我方负全部责任。</w:t>
      </w:r>
    </w:p>
    <w:p w14:paraId="64BB6AC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）非法人（包括其他组织、自然人）的</w:t>
      </w:r>
    </w:p>
    <w:p w14:paraId="751C43B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自</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日至</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日我方缴纳的社会保险凭据（限：税务机关/社会保障资金管理机关的专用收据或社会保险缴纳清单，或社会保险的银行缴款收讫凭证）复印件，上述证明材料真实有效，否则我方负全部责任。</w:t>
      </w:r>
    </w:p>
    <w:p w14:paraId="524EB0FD">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2、依法不需要缴纳社会保障资金的供应商</w:t>
      </w:r>
    </w:p>
    <w:p w14:paraId="4D8D32E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）现附上我方依法不需要缴纳社会保障资金证明材料复印件，上述证明材料真实有效，否则我方负全部责任。</w:t>
      </w:r>
    </w:p>
    <w:p w14:paraId="4A8EE83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5D3A45B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★注意：</w:t>
      </w:r>
    </w:p>
    <w:p w14:paraId="07E7985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1、请供应商根据实际情况填写，在相应的（）中打“√”，并按照本格式的要求提供相应证明材料的复印件。</w:t>
      </w:r>
    </w:p>
    <w:p w14:paraId="4A9CCF0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2、供应商提供的社会保险凭据复印件应符合下列规定：</w:t>
      </w:r>
    </w:p>
    <w:p w14:paraId="14D068C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2.1首次响应文件递交截止时间前（不含截止时间的当月）已依法缴纳社会保障资金的供应商，提供首次响应文件递交截止时间前六个月（不含截止时间的当月）中任一月份的社会保险凭据复印件。</w:t>
      </w:r>
    </w:p>
    <w:p w14:paraId="20AD1DD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2.2首次响应文件递交截止时间的当月成立且已依法缴纳社会保障资金的供应商，提供首次响应文件递交截止时间当月的社会保险凭据复印件。</w:t>
      </w:r>
    </w:p>
    <w:p w14:paraId="6E7199A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2.3首次响应文件递交截止时间的当月成立但因税务机关/社会保障资金管理机关原因而尚未依法缴纳社会保障资金的供应商，提供依法缴纳社会保障资金承诺书原件（格式自拟），该承诺书视同社会保险凭据。</w:t>
      </w:r>
    </w:p>
    <w:p w14:paraId="0DA0E62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3、供应商提供的相应证明材料复印件均应符合：内容完整、清晰、整洁，并由供应商加盖其单位公章。</w:t>
      </w:r>
    </w:p>
    <w:p w14:paraId="11E1EBC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4、“</w:t>
      </w:r>
      <w:r>
        <w:rPr>
          <w:rFonts w:hint="eastAsia" w:ascii="仿宋" w:hAnsi="仿宋" w:eastAsia="仿宋" w:cs="仿宋"/>
          <w:b/>
          <w:bCs/>
          <w:kern w:val="0"/>
          <w:sz w:val="24"/>
          <w:highlight w:val="none"/>
        </w:rPr>
        <w:t>依法缴纳社会保障资金证明材料</w:t>
      </w:r>
      <w:r>
        <w:rPr>
          <w:rFonts w:hint="eastAsia" w:ascii="仿宋" w:hAnsi="仿宋" w:eastAsia="仿宋" w:cs="仿宋"/>
          <w:kern w:val="0"/>
          <w:sz w:val="24"/>
          <w:highlight w:val="none"/>
        </w:rPr>
        <w:t>”有欠缴记录的，视为</w:t>
      </w:r>
      <w:r>
        <w:rPr>
          <w:rFonts w:hint="eastAsia" w:ascii="仿宋" w:hAnsi="仿宋" w:eastAsia="仿宋" w:cs="仿宋"/>
          <w:b/>
          <w:bCs/>
          <w:kern w:val="0"/>
          <w:sz w:val="24"/>
          <w:highlight w:val="none"/>
        </w:rPr>
        <w:t>未依法缴纳社会保障资金</w:t>
      </w:r>
      <w:r>
        <w:rPr>
          <w:rFonts w:hint="eastAsia" w:ascii="仿宋" w:hAnsi="仿宋" w:eastAsia="仿宋" w:cs="仿宋"/>
          <w:kern w:val="0"/>
          <w:sz w:val="24"/>
          <w:highlight w:val="none"/>
        </w:rPr>
        <w:t>。</w:t>
      </w:r>
    </w:p>
    <w:p w14:paraId="3D1BE2B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5、对于接受联合体形式的磋商且供应商是联合体的，则联合体各成员都应当提交本资格证明文件。</w:t>
      </w:r>
    </w:p>
    <w:p w14:paraId="7820979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227B8A7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w:t>
      </w:r>
      <w:r>
        <w:rPr>
          <w:rFonts w:hint="eastAsia" w:ascii="仿宋" w:hAnsi="仿宋" w:eastAsia="仿宋" w:cs="仿宋"/>
          <w:kern w:val="0"/>
          <w:sz w:val="24"/>
          <w:highlight w:val="none"/>
          <w:u w:val="single"/>
        </w:rPr>
        <w:t>             （签字） </w:t>
      </w:r>
    </w:p>
    <w:p w14:paraId="0B13AD1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（全称并加盖公章）  </w:t>
      </w:r>
    </w:p>
    <w:p w14:paraId="36BF28E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  期：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14E45492">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p>
    <w:p w14:paraId="67974A43">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具备履行合同所必需设备和专业技术能力证明材料</w:t>
      </w:r>
    </w:p>
    <w:p w14:paraId="42EAE16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6DD08939">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声明函</w:t>
      </w:r>
    </w:p>
    <w:p w14:paraId="0160BEA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采购人或采购代理机构</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 xml:space="preserve">       </w:t>
      </w:r>
    </w:p>
    <w:p w14:paraId="331037C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我方具备履行合同所必需的设备和专业技术能力，并对本声明承诺的真实性负责，否则产生不利后果由我方承担责任。</w:t>
      </w:r>
    </w:p>
    <w:p w14:paraId="4259BE5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特此声明。</w:t>
      </w:r>
    </w:p>
    <w:p w14:paraId="2991D1B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2D7E2E1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★注意：</w:t>
      </w:r>
    </w:p>
    <w:p w14:paraId="28ABAE0B">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1.磋商文件“供应商的资格”中特定资格条件如果没有特别规定，则由供应商在响应文件中按上述格式提供其具备履行合同所必需的设备和专业技术能力的声明即可，声明函应加盖供应商单位公章。</w:t>
      </w:r>
    </w:p>
    <w:p w14:paraId="6564C16B">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p>
    <w:p w14:paraId="0B3F090A">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  3.对于接受联合体形式的磋商且供应商是联合体的，则联合体各成员都应当提交本资格证明文件。</w:t>
      </w:r>
    </w:p>
    <w:p w14:paraId="5CCA3D5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4D7DC0E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20B0289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w:t>
      </w:r>
      <w:r>
        <w:rPr>
          <w:rFonts w:hint="eastAsia" w:ascii="仿宋" w:hAnsi="仿宋" w:eastAsia="仿宋" w:cs="仿宋"/>
          <w:kern w:val="0"/>
          <w:sz w:val="24"/>
          <w:highlight w:val="none"/>
          <w:u w:val="single"/>
        </w:rPr>
        <w:t>             （签字） </w:t>
      </w:r>
    </w:p>
    <w:p w14:paraId="152B39B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（全称并加盖公章）    </w:t>
      </w:r>
    </w:p>
    <w:p w14:paraId="1E5C041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  期：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59BE67C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14ECDC7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kern w:val="0"/>
          <w:sz w:val="24"/>
          <w:highlight w:val="none"/>
        </w:rPr>
        <w:t> </w:t>
      </w:r>
    </w:p>
    <w:p w14:paraId="631FF074">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参加采购活动前三年内在经营活动中没有重大违法记录书面声明</w:t>
      </w:r>
    </w:p>
    <w:p w14:paraId="255E1BA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1D347C92">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致：</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采购人或采购代理机构</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 xml:space="preserve">       </w:t>
      </w:r>
    </w:p>
    <w:p w14:paraId="60C4A8B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参加采购活动前三年内，我方在经营活动中没有重大违法记录，也无行贿犯罪记录。</w:t>
      </w:r>
    </w:p>
    <w:p w14:paraId="58419D9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特此声明。</w:t>
      </w:r>
    </w:p>
    <w:p w14:paraId="4AB11A6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7B9B526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★注意：</w:t>
      </w:r>
    </w:p>
    <w:p w14:paraId="438E1ED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1、“重大违法记录”指供应商因违法经营受到刑事处罚或责令停产停业、吊销许可证或执照、较大数额罚款等行政处罚。</w:t>
      </w:r>
    </w:p>
    <w:p w14:paraId="4E3F7DA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2、请供应商根据实际情况进行声明，若声明不真实，视为提供虚假材料。</w:t>
      </w:r>
    </w:p>
    <w:p w14:paraId="1CACAE4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3、对于接受联合体形式的磋商且供应商是联合体的，则联合体各成员都应当提交本资格证明文件。</w:t>
      </w:r>
    </w:p>
    <w:p w14:paraId="0703047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07B785B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72FB846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w:t>
      </w:r>
      <w:r>
        <w:rPr>
          <w:rFonts w:hint="eastAsia" w:ascii="仿宋" w:hAnsi="仿宋" w:eastAsia="仿宋" w:cs="仿宋"/>
          <w:kern w:val="0"/>
          <w:sz w:val="24"/>
          <w:highlight w:val="none"/>
          <w:u w:val="single"/>
        </w:rPr>
        <w:t>             （签字） </w:t>
      </w:r>
    </w:p>
    <w:p w14:paraId="2FF537C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（全称并加盖公章） </w:t>
      </w:r>
    </w:p>
    <w:p w14:paraId="6F25453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  期：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1980A49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p>
    <w:p w14:paraId="31D5EBDD">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四-5中小企业声明函</w:t>
      </w:r>
    </w:p>
    <w:p w14:paraId="1EF7855C">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中小企业声明函（工程）</w:t>
      </w:r>
    </w:p>
    <w:p w14:paraId="49EFD76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本公司</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u w:val="single"/>
        </w:rPr>
        <w:t>（联合体</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lang w:val="en-US" w:eastAsia="zh-CN"/>
        </w:rPr>
        <w:t>若有</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u w:val="single"/>
        </w:rPr>
        <w:t>）</w:t>
      </w:r>
      <w:r>
        <w:rPr>
          <w:rFonts w:hint="eastAsia" w:ascii="仿宋" w:hAnsi="仿宋" w:eastAsia="仿宋" w:cs="仿宋"/>
          <w:kern w:val="0"/>
          <w:sz w:val="24"/>
          <w:highlight w:val="none"/>
        </w:rPr>
        <w:t>郑重声明，根据《政府采购促进中小企业发展管理办法》（财库﹝2020﹞46 号）的规定，本公司</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u w:val="single"/>
        </w:rPr>
        <w:t>（联合体</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lang w:val="en-US" w:eastAsia="zh-CN"/>
        </w:rPr>
        <w:t>若有</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u w:val="single"/>
        </w:rPr>
        <w:t>）</w:t>
      </w:r>
      <w:r>
        <w:rPr>
          <w:rFonts w:hint="eastAsia" w:ascii="仿宋" w:hAnsi="仿宋" w:eastAsia="仿宋" w:cs="仿宋"/>
          <w:kern w:val="0"/>
          <w:sz w:val="24"/>
          <w:highlight w:val="none"/>
        </w:rPr>
        <w:t>参加</w:t>
      </w:r>
      <w:r>
        <w:rPr>
          <w:rFonts w:hint="eastAsia" w:ascii="仿宋" w:hAnsi="仿宋" w:eastAsia="仿宋" w:cs="仿宋"/>
          <w:kern w:val="0"/>
          <w:sz w:val="24"/>
          <w:highlight w:val="none"/>
          <w:u w:val="single"/>
        </w:rPr>
        <w:t>（</w:t>
      </w:r>
      <w:r>
        <w:rPr>
          <w:rFonts w:hint="eastAsia" w:ascii="仿宋" w:hAnsi="仿宋" w:eastAsia="仿宋" w:cs="仿宋"/>
          <w:kern w:val="0"/>
          <w:sz w:val="24"/>
          <w:highlight w:val="none"/>
          <w:u w:val="single"/>
          <w:lang w:eastAsia="zh-CN"/>
        </w:rPr>
        <w:t>福建省厦门第一中学</w:t>
      </w:r>
      <w:r>
        <w:rPr>
          <w:rFonts w:hint="eastAsia" w:ascii="仿宋" w:hAnsi="仿宋" w:eastAsia="仿宋" w:cs="仿宋"/>
          <w:kern w:val="0"/>
          <w:sz w:val="24"/>
          <w:highlight w:val="none"/>
          <w:u w:val="single"/>
        </w:rPr>
        <w:t>）</w:t>
      </w:r>
      <w:r>
        <w:rPr>
          <w:rFonts w:hint="eastAsia" w:ascii="仿宋" w:hAnsi="仿宋" w:eastAsia="仿宋" w:cs="仿宋"/>
          <w:kern w:val="0"/>
          <w:sz w:val="24"/>
          <w:highlight w:val="none"/>
        </w:rPr>
        <w:t>的</w:t>
      </w:r>
      <w:r>
        <w:rPr>
          <w:rFonts w:hint="eastAsia" w:ascii="仿宋" w:hAnsi="仿宋" w:eastAsia="仿宋" w:cs="仿宋"/>
          <w:kern w:val="0"/>
          <w:sz w:val="24"/>
          <w:highlight w:val="none"/>
          <w:u w:val="single"/>
        </w:rPr>
        <w:t>（</w:t>
      </w:r>
      <w:r>
        <w:rPr>
          <w:rFonts w:hint="eastAsia" w:ascii="仿宋" w:hAnsi="仿宋" w:eastAsia="仿宋" w:cs="仿宋"/>
          <w:kern w:val="0"/>
          <w:sz w:val="24"/>
          <w:highlight w:val="none"/>
          <w:u w:val="single"/>
          <w:lang w:eastAsia="zh-CN"/>
        </w:rPr>
        <w:t>思明校区初中部二次供水改造项目</w:t>
      </w:r>
      <w:r>
        <w:rPr>
          <w:rFonts w:hint="eastAsia" w:ascii="仿宋" w:hAnsi="仿宋" w:eastAsia="仿宋" w:cs="仿宋"/>
          <w:kern w:val="0"/>
          <w:sz w:val="24"/>
          <w:highlight w:val="none"/>
          <w:u w:val="single"/>
        </w:rPr>
        <w:t>）</w:t>
      </w:r>
      <w:r>
        <w:rPr>
          <w:rFonts w:hint="eastAsia" w:ascii="仿宋" w:hAnsi="仿宋" w:eastAsia="仿宋" w:cs="仿宋"/>
          <w:kern w:val="0"/>
          <w:sz w:val="24"/>
          <w:highlight w:val="none"/>
        </w:rPr>
        <w:t>采购活动，工程的施工单位全部为符合政策要求的中小企业。相关企业（含联合体中的中小企业、签订分包意向协议的中小企业）的具体情况如下：</w:t>
      </w:r>
    </w:p>
    <w:p w14:paraId="4D7B28D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1. </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u w:val="single"/>
        </w:rPr>
        <w:t>（标的名称</w:t>
      </w:r>
      <w:r>
        <w:rPr>
          <w:rFonts w:hint="eastAsia" w:ascii="仿宋" w:hAnsi="仿宋" w:eastAsia="仿宋" w:cs="仿宋"/>
          <w:kern w:val="0"/>
          <w:sz w:val="24"/>
          <w:highlight w:val="none"/>
        </w:rPr>
        <w:t>），属于（</w:t>
      </w:r>
      <w:r>
        <w:rPr>
          <w:rFonts w:hint="eastAsia" w:ascii="仿宋" w:hAnsi="仿宋" w:eastAsia="仿宋" w:cs="仿宋"/>
          <w:kern w:val="0"/>
          <w:sz w:val="24"/>
          <w:highlight w:val="none"/>
          <w:u w:val="single"/>
          <w:lang w:val="en-US" w:eastAsia="zh-CN"/>
        </w:rPr>
        <w:t>建筑业</w:t>
      </w:r>
      <w:r>
        <w:rPr>
          <w:rFonts w:hint="eastAsia" w:ascii="仿宋" w:hAnsi="仿宋" w:eastAsia="仿宋" w:cs="仿宋"/>
          <w:kern w:val="0"/>
          <w:sz w:val="24"/>
          <w:highlight w:val="none"/>
        </w:rPr>
        <w:t>）；承建企业为</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u w:val="single"/>
        </w:rPr>
        <w:t>（企业名称）</w:t>
      </w:r>
      <w:r>
        <w:rPr>
          <w:rFonts w:hint="eastAsia" w:ascii="仿宋" w:hAnsi="仿宋" w:eastAsia="仿宋" w:cs="仿宋"/>
          <w:kern w:val="0"/>
          <w:sz w:val="24"/>
          <w:highlight w:val="none"/>
        </w:rPr>
        <w:t>，从业人员</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rPr>
        <w:t>人，营业收入为</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rPr>
        <w:t>万元，资产总额为</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rPr>
        <w:t>万元，属于</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u w:val="single"/>
        </w:rPr>
        <w:t>（中型企业、小型企业、微型企业</w:t>
      </w:r>
      <w:r>
        <w:rPr>
          <w:rFonts w:hint="eastAsia" w:ascii="仿宋" w:hAnsi="仿宋" w:eastAsia="仿宋" w:cs="仿宋"/>
          <w:kern w:val="0"/>
          <w:sz w:val="24"/>
          <w:highlight w:val="none"/>
          <w:u w:val="single"/>
          <w:lang w:val="en-US" w:eastAsia="zh-CN"/>
        </w:rPr>
        <w:t>选一个</w:t>
      </w:r>
      <w:r>
        <w:rPr>
          <w:rFonts w:hint="eastAsia" w:ascii="仿宋" w:hAnsi="仿宋" w:eastAsia="仿宋" w:cs="仿宋"/>
          <w:kern w:val="0"/>
          <w:sz w:val="24"/>
          <w:highlight w:val="none"/>
          <w:u w:val="single"/>
        </w:rPr>
        <w:t>）</w:t>
      </w:r>
      <w:r>
        <w:rPr>
          <w:rFonts w:hint="eastAsia" w:ascii="仿宋" w:hAnsi="仿宋" w:eastAsia="仿宋" w:cs="仿宋"/>
          <w:kern w:val="0"/>
          <w:sz w:val="24"/>
          <w:highlight w:val="none"/>
        </w:rPr>
        <w:t>；</w:t>
      </w:r>
    </w:p>
    <w:p w14:paraId="669B07A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u w:val="single"/>
        </w:rPr>
        <w:t>（标的名称</w:t>
      </w:r>
      <w:r>
        <w:rPr>
          <w:rFonts w:hint="eastAsia" w:ascii="仿宋" w:hAnsi="仿宋" w:eastAsia="仿宋" w:cs="仿宋"/>
          <w:kern w:val="0"/>
          <w:sz w:val="24"/>
          <w:highlight w:val="none"/>
        </w:rPr>
        <w:t>），属于（</w:t>
      </w:r>
      <w:r>
        <w:rPr>
          <w:rFonts w:hint="eastAsia" w:ascii="仿宋" w:hAnsi="仿宋" w:eastAsia="仿宋" w:cs="仿宋"/>
          <w:kern w:val="0"/>
          <w:sz w:val="24"/>
          <w:highlight w:val="none"/>
          <w:u w:val="single"/>
          <w:lang w:val="en-US" w:eastAsia="zh-CN"/>
        </w:rPr>
        <w:t>建筑业</w:t>
      </w:r>
      <w:r>
        <w:rPr>
          <w:rFonts w:hint="eastAsia" w:ascii="仿宋" w:hAnsi="仿宋" w:eastAsia="仿宋" w:cs="仿宋"/>
          <w:kern w:val="0"/>
          <w:sz w:val="24"/>
          <w:highlight w:val="none"/>
        </w:rPr>
        <w:t>）；承建企业为</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u w:val="single"/>
        </w:rPr>
        <w:t>（企业名称）</w:t>
      </w:r>
      <w:r>
        <w:rPr>
          <w:rFonts w:hint="eastAsia" w:ascii="仿宋" w:hAnsi="仿宋" w:eastAsia="仿宋" w:cs="仿宋"/>
          <w:kern w:val="0"/>
          <w:sz w:val="24"/>
          <w:highlight w:val="none"/>
        </w:rPr>
        <w:t>，从业人员</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rPr>
        <w:t>人，营业收入为</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rPr>
        <w:t>万元，资产总额为</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rPr>
        <w:t>万元，属于</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u w:val="single"/>
        </w:rPr>
        <w:t>（中型企业、小型企业、微型企业</w:t>
      </w:r>
      <w:r>
        <w:rPr>
          <w:rFonts w:hint="eastAsia" w:ascii="仿宋" w:hAnsi="仿宋" w:eastAsia="仿宋" w:cs="仿宋"/>
          <w:kern w:val="0"/>
          <w:sz w:val="24"/>
          <w:highlight w:val="none"/>
          <w:u w:val="single"/>
          <w:lang w:val="en-US" w:eastAsia="zh-CN"/>
        </w:rPr>
        <w:t>选一个</w:t>
      </w:r>
      <w:r>
        <w:rPr>
          <w:rFonts w:hint="eastAsia" w:ascii="仿宋" w:hAnsi="仿宋" w:eastAsia="仿宋" w:cs="仿宋"/>
          <w:kern w:val="0"/>
          <w:sz w:val="24"/>
          <w:highlight w:val="none"/>
          <w:u w:val="single"/>
        </w:rPr>
        <w:t>）</w:t>
      </w:r>
      <w:r>
        <w:rPr>
          <w:rFonts w:hint="eastAsia" w:ascii="仿宋" w:hAnsi="仿宋" w:eastAsia="仿宋" w:cs="仿宋"/>
          <w:kern w:val="0"/>
          <w:sz w:val="24"/>
          <w:highlight w:val="none"/>
        </w:rPr>
        <w:t>；</w:t>
      </w:r>
    </w:p>
    <w:p w14:paraId="2FA87CB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p>
    <w:p w14:paraId="645B638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以上企业，不属于大企业的分支机构，不存在控股股东为大企业的情形，也不存在与大企业的负责人为同一人的情形。</w:t>
      </w:r>
    </w:p>
    <w:p w14:paraId="7B85A81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本企业对上述声明内容的真实性负责。如有虚假，将依法承担相应责任。</w:t>
      </w:r>
    </w:p>
    <w:p w14:paraId="5257C2C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                        </w:t>
      </w:r>
    </w:p>
    <w:p w14:paraId="64F6803F">
      <w:pPr>
        <w:pageBreakBefore w:val="0"/>
        <w:widowControl w:val="0"/>
        <w:kinsoku/>
        <w:wordWrap/>
        <w:overflowPunct/>
        <w:topLinePunct w:val="0"/>
        <w:autoSpaceDE/>
        <w:autoSpaceDN/>
        <w:bidi w:val="0"/>
        <w:adjustRightInd/>
        <w:snapToGrid/>
        <w:spacing w:line="360" w:lineRule="auto"/>
        <w:ind w:firstLine="6720" w:firstLineChars="28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企业名称（盖章）：</w:t>
      </w:r>
    </w:p>
    <w:p w14:paraId="0D12E75C">
      <w:pPr>
        <w:pageBreakBefore w:val="0"/>
        <w:widowControl w:val="0"/>
        <w:kinsoku/>
        <w:wordWrap/>
        <w:overflowPunct/>
        <w:topLinePunct w:val="0"/>
        <w:autoSpaceDE/>
        <w:autoSpaceDN/>
        <w:bidi w:val="0"/>
        <w:adjustRightInd/>
        <w:snapToGrid/>
        <w:spacing w:line="360" w:lineRule="auto"/>
        <w:ind w:right="240" w:firstLine="6720" w:firstLineChars="28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日期：</w:t>
      </w:r>
    </w:p>
    <w:p w14:paraId="7D88127E">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仿宋" w:hAnsi="仿宋" w:eastAsia="仿宋" w:cs="宋体"/>
          <w:kern w:val="0"/>
          <w:sz w:val="24"/>
          <w:szCs w:val="24"/>
          <w:highlight w:val="none"/>
        </w:rPr>
      </w:pPr>
      <w:r>
        <w:rPr>
          <w:rFonts w:ascii="仿宋" w:hAnsi="仿宋" w:eastAsia="仿宋" w:cs="宋体"/>
          <w:b/>
          <w:bCs/>
          <w:kern w:val="0"/>
          <w:sz w:val="24"/>
          <w:szCs w:val="24"/>
          <w:highlight w:val="none"/>
        </w:rPr>
        <w:t>※注意：</w:t>
      </w:r>
    </w:p>
    <w:p w14:paraId="0F48C781">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仿宋" w:hAnsi="仿宋" w:eastAsia="仿宋" w:cs="宋体"/>
          <w:kern w:val="0"/>
          <w:sz w:val="24"/>
          <w:szCs w:val="24"/>
          <w:highlight w:val="none"/>
        </w:rPr>
      </w:pPr>
      <w:r>
        <w:rPr>
          <w:rFonts w:ascii="仿宋" w:hAnsi="仿宋" w:eastAsia="仿宋" w:cs="宋体"/>
          <w:b/>
          <w:bCs/>
          <w:kern w:val="0"/>
          <w:sz w:val="24"/>
          <w:szCs w:val="24"/>
          <w:highlight w:val="none"/>
        </w:rPr>
        <w:t>1、从业人员、营业收入、资产总额填报上一年度数据，无上一年度数据的新成立企业可不填报。</w:t>
      </w:r>
    </w:p>
    <w:p w14:paraId="59D91C1C">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仿宋" w:hAnsi="仿宋" w:eastAsia="仿宋" w:cs="宋体"/>
          <w:kern w:val="0"/>
          <w:sz w:val="24"/>
          <w:szCs w:val="24"/>
          <w:highlight w:val="none"/>
        </w:rPr>
      </w:pPr>
      <w:r>
        <w:rPr>
          <w:rFonts w:ascii="仿宋" w:hAnsi="仿宋" w:eastAsia="仿宋" w:cs="宋体"/>
          <w:b/>
          <w:bCs/>
          <w:kern w:val="0"/>
          <w:sz w:val="24"/>
          <w:szCs w:val="24"/>
          <w:highlight w:val="none"/>
        </w:rPr>
        <w:t>2、</w:t>
      </w:r>
      <w:r>
        <w:rPr>
          <w:rFonts w:hint="eastAsia" w:ascii="仿宋" w:hAnsi="仿宋" w:eastAsia="仿宋" w:cs="宋体"/>
          <w:b/>
          <w:bCs/>
          <w:kern w:val="0"/>
          <w:sz w:val="24"/>
          <w:szCs w:val="24"/>
          <w:highlight w:val="none"/>
          <w:lang w:val="en-US" w:eastAsia="zh-CN"/>
        </w:rPr>
        <w:t>供应商</w:t>
      </w:r>
      <w:r>
        <w:rPr>
          <w:rFonts w:ascii="仿宋" w:hAnsi="仿宋" w:eastAsia="仿宋" w:cs="宋体"/>
          <w:b/>
          <w:bCs/>
          <w:kern w:val="0"/>
          <w:sz w:val="24"/>
          <w:szCs w:val="24"/>
          <w:highlight w:val="none"/>
        </w:rPr>
        <w:t>须按</w:t>
      </w:r>
      <w:r>
        <w:rPr>
          <w:rFonts w:hint="eastAsia" w:ascii="仿宋" w:hAnsi="仿宋" w:eastAsia="仿宋" w:cs="宋体"/>
          <w:b/>
          <w:bCs/>
          <w:kern w:val="0"/>
          <w:sz w:val="24"/>
          <w:szCs w:val="24"/>
          <w:highlight w:val="none"/>
          <w:lang w:val="en-US" w:eastAsia="zh-CN"/>
        </w:rPr>
        <w:t>磋商</w:t>
      </w:r>
      <w:r>
        <w:rPr>
          <w:rFonts w:ascii="仿宋" w:hAnsi="仿宋" w:eastAsia="仿宋" w:cs="宋体"/>
          <w:b/>
          <w:bCs/>
          <w:kern w:val="0"/>
          <w:sz w:val="24"/>
          <w:szCs w:val="24"/>
          <w:highlight w:val="none"/>
        </w:rPr>
        <w:t>文件中明确的所属行业填列，多品目项目中须按上表要求逐条填列，否则，其提供的中小企业声明将被判定为无效声明函，由此造成的后果由</w:t>
      </w:r>
      <w:r>
        <w:rPr>
          <w:rFonts w:hint="eastAsia" w:ascii="仿宋" w:hAnsi="仿宋" w:eastAsia="仿宋" w:cs="宋体"/>
          <w:b/>
          <w:bCs/>
          <w:kern w:val="0"/>
          <w:sz w:val="24"/>
          <w:szCs w:val="24"/>
          <w:highlight w:val="none"/>
          <w:lang w:val="en-US" w:eastAsia="zh-CN"/>
        </w:rPr>
        <w:t>供应商</w:t>
      </w:r>
      <w:r>
        <w:rPr>
          <w:rFonts w:ascii="仿宋" w:hAnsi="仿宋" w:eastAsia="仿宋" w:cs="宋体"/>
          <w:b/>
          <w:bCs/>
          <w:kern w:val="0"/>
          <w:sz w:val="24"/>
          <w:szCs w:val="24"/>
          <w:highlight w:val="none"/>
        </w:rPr>
        <w:t>自行承担（涉及资格的按无效</w:t>
      </w:r>
      <w:r>
        <w:rPr>
          <w:rFonts w:hint="eastAsia" w:ascii="仿宋" w:hAnsi="仿宋" w:eastAsia="仿宋" w:cs="宋体"/>
          <w:b/>
          <w:bCs/>
          <w:kern w:val="0"/>
          <w:sz w:val="24"/>
          <w:szCs w:val="24"/>
          <w:highlight w:val="none"/>
          <w:lang w:val="en-US" w:eastAsia="zh-CN"/>
        </w:rPr>
        <w:t>响应</w:t>
      </w:r>
      <w:r>
        <w:rPr>
          <w:rFonts w:ascii="仿宋" w:hAnsi="仿宋" w:eastAsia="仿宋" w:cs="宋体"/>
          <w:b/>
          <w:bCs/>
          <w:kern w:val="0"/>
          <w:sz w:val="24"/>
          <w:szCs w:val="24"/>
          <w:highlight w:val="none"/>
        </w:rPr>
        <w:t>处理）。</w:t>
      </w:r>
    </w:p>
    <w:p w14:paraId="6D594680">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仿宋" w:hAnsi="仿宋" w:eastAsia="仿宋" w:cs="宋体"/>
          <w:kern w:val="0"/>
          <w:sz w:val="24"/>
          <w:szCs w:val="24"/>
          <w:highlight w:val="none"/>
        </w:rPr>
        <w:sectPr>
          <w:pgSz w:w="11906" w:h="16838"/>
          <w:pgMar w:top="1440" w:right="1077" w:bottom="1440" w:left="1077" w:header="851" w:footer="992" w:gutter="0"/>
          <w:cols w:space="425" w:num="1"/>
          <w:docGrid w:type="lines" w:linePitch="312" w:charSpace="0"/>
        </w:sectPr>
      </w:pPr>
      <w:r>
        <w:rPr>
          <w:rFonts w:ascii="仿宋" w:hAnsi="仿宋" w:eastAsia="仿宋" w:cs="宋体"/>
          <w:b/>
          <w:bCs/>
          <w:kern w:val="0"/>
          <w:sz w:val="24"/>
          <w:szCs w:val="24"/>
          <w:highlight w:val="none"/>
        </w:rPr>
        <w:t>3、</w:t>
      </w:r>
      <w:r>
        <w:rPr>
          <w:rFonts w:hint="eastAsia" w:ascii="仿宋" w:hAnsi="仿宋" w:eastAsia="仿宋" w:cs="宋体"/>
          <w:b/>
          <w:bCs/>
          <w:kern w:val="0"/>
          <w:sz w:val="24"/>
          <w:szCs w:val="24"/>
          <w:highlight w:val="none"/>
          <w:lang w:val="en-US" w:eastAsia="zh-CN"/>
        </w:rPr>
        <w:t>供应商</w:t>
      </w:r>
      <w:r>
        <w:rPr>
          <w:rFonts w:ascii="仿宋" w:hAnsi="仿宋" w:eastAsia="仿宋" w:cs="宋体"/>
          <w:b/>
          <w:bCs/>
          <w:kern w:val="0"/>
          <w:sz w:val="24"/>
          <w:szCs w:val="24"/>
          <w:highlight w:val="none"/>
        </w:rPr>
        <w:t>应当对其出具的《中小企业声明函》真实性负责，</w:t>
      </w:r>
      <w:r>
        <w:rPr>
          <w:rFonts w:hint="eastAsia" w:ascii="仿宋" w:hAnsi="仿宋" w:eastAsia="仿宋" w:cs="宋体"/>
          <w:b/>
          <w:bCs/>
          <w:kern w:val="0"/>
          <w:sz w:val="24"/>
          <w:szCs w:val="24"/>
          <w:highlight w:val="none"/>
          <w:lang w:val="en-US" w:eastAsia="zh-CN"/>
        </w:rPr>
        <w:t>供应商</w:t>
      </w:r>
      <w:r>
        <w:rPr>
          <w:rFonts w:ascii="仿宋" w:hAnsi="仿宋" w:eastAsia="仿宋" w:cs="宋体"/>
          <w:b/>
          <w:bCs/>
          <w:kern w:val="0"/>
          <w:sz w:val="24"/>
          <w:szCs w:val="24"/>
          <w:highlight w:val="none"/>
        </w:rPr>
        <w:t>出具的《中小企业声明函》内容不实的，属于提供虚假材料谋取</w:t>
      </w:r>
      <w:r>
        <w:rPr>
          <w:rFonts w:hint="eastAsia" w:ascii="仿宋" w:hAnsi="仿宋" w:eastAsia="仿宋" w:cs="宋体"/>
          <w:b/>
          <w:bCs/>
          <w:kern w:val="0"/>
          <w:sz w:val="24"/>
          <w:szCs w:val="24"/>
          <w:highlight w:val="none"/>
          <w:lang w:val="en-US" w:eastAsia="zh-CN"/>
        </w:rPr>
        <w:t>成交</w:t>
      </w:r>
      <w:r>
        <w:rPr>
          <w:rFonts w:ascii="仿宋" w:hAnsi="仿宋" w:eastAsia="仿宋" w:cs="宋体"/>
          <w:b/>
          <w:bCs/>
          <w:kern w:val="0"/>
          <w:sz w:val="24"/>
          <w:szCs w:val="24"/>
          <w:highlight w:val="none"/>
        </w:rPr>
        <w:t>。</w:t>
      </w:r>
    </w:p>
    <w:p w14:paraId="5EAB5211">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残疾人福利性单位声明函（如果有的话）</w:t>
      </w:r>
    </w:p>
    <w:p w14:paraId="5E16C6C0">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 </w:t>
      </w:r>
    </w:p>
    <w:p w14:paraId="7AD35A0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本供应商郑重声明，根据《财政部 民政部 中国残疾人联合会关于促进残疾人就业政府采购政策的通知》（财库</w:t>
      </w:r>
      <w:r>
        <w:rPr>
          <w:rFonts w:hint="eastAsia" w:ascii="仿宋" w:hAnsi="仿宋" w:eastAsia="仿宋" w:cs="仿宋"/>
          <w:kern w:val="0"/>
          <w:sz w:val="24"/>
          <w:highlight w:val="none"/>
          <w:lang w:eastAsia="zh-CN"/>
        </w:rPr>
        <w:t>〔2017〕141号</w:t>
      </w:r>
      <w:r>
        <w:rPr>
          <w:rFonts w:hint="eastAsia" w:ascii="仿宋" w:hAnsi="仿宋" w:eastAsia="仿宋" w:cs="仿宋"/>
          <w:kern w:val="0"/>
          <w:sz w:val="24"/>
          <w:highlight w:val="none"/>
        </w:rPr>
        <w:t>）、《政府采购促进中小企业发展管理办法》（财库〔2020〕46号）的规定，本供应商为符合条件的残疾人福利性单位，且本供应商参加贵单位的</w:t>
      </w:r>
      <w:r>
        <w:rPr>
          <w:rFonts w:hint="eastAsia" w:ascii="仿宋" w:hAnsi="仿宋" w:eastAsia="仿宋" w:cs="仿宋"/>
          <w:kern w:val="0"/>
          <w:sz w:val="24"/>
          <w:highlight w:val="none"/>
          <w:u w:val="single"/>
        </w:rPr>
        <w:t>（填写“项目名称”）</w:t>
      </w:r>
      <w:r>
        <w:rPr>
          <w:rFonts w:hint="eastAsia" w:ascii="仿宋" w:hAnsi="仿宋" w:eastAsia="仿宋" w:cs="仿宋"/>
          <w:kern w:val="0"/>
          <w:sz w:val="24"/>
          <w:highlight w:val="none"/>
        </w:rPr>
        <w:t>项目采购活动：</w:t>
      </w:r>
    </w:p>
    <w:p w14:paraId="4EF5141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）提供本供应商制造的</w:t>
      </w:r>
      <w:r>
        <w:rPr>
          <w:rFonts w:hint="eastAsia" w:ascii="仿宋" w:hAnsi="仿宋" w:eastAsia="仿宋" w:cs="仿宋"/>
          <w:kern w:val="0"/>
          <w:sz w:val="24"/>
          <w:highlight w:val="none"/>
          <w:u w:val="single"/>
        </w:rPr>
        <w:t>（填写“所投</w:t>
      </w:r>
      <w:r>
        <w:rPr>
          <w:rFonts w:hint="eastAsia" w:ascii="仿宋" w:hAnsi="仿宋" w:eastAsia="仿宋" w:cs="仿宋"/>
          <w:kern w:val="0"/>
          <w:sz w:val="24"/>
          <w:highlight w:val="none"/>
          <w:u w:val="single"/>
          <w:lang w:eastAsia="zh-CN"/>
        </w:rPr>
        <w:t>采购包</w:t>
      </w:r>
      <w:r>
        <w:rPr>
          <w:rFonts w:hint="eastAsia" w:ascii="仿宋" w:hAnsi="仿宋" w:eastAsia="仿宋" w:cs="仿宋"/>
          <w:kern w:val="0"/>
          <w:sz w:val="24"/>
          <w:highlight w:val="none"/>
          <w:u w:val="single"/>
        </w:rPr>
        <w:t>、品目号”）</w:t>
      </w:r>
      <w:r>
        <w:rPr>
          <w:rFonts w:hint="eastAsia" w:ascii="仿宋" w:hAnsi="仿宋" w:eastAsia="仿宋" w:cs="仿宋"/>
          <w:kern w:val="0"/>
          <w:sz w:val="24"/>
          <w:highlight w:val="none"/>
        </w:rPr>
        <w:t>货物，或提供其他残疾人福利性单位制造的</w:t>
      </w:r>
      <w:r>
        <w:rPr>
          <w:rFonts w:hint="eastAsia" w:ascii="仿宋" w:hAnsi="仿宋" w:eastAsia="仿宋" w:cs="仿宋"/>
          <w:kern w:val="0"/>
          <w:sz w:val="24"/>
          <w:highlight w:val="none"/>
          <w:u w:val="single"/>
        </w:rPr>
        <w:t>（填写“所投</w:t>
      </w:r>
      <w:r>
        <w:rPr>
          <w:rFonts w:hint="eastAsia" w:ascii="仿宋" w:hAnsi="仿宋" w:eastAsia="仿宋" w:cs="仿宋"/>
          <w:kern w:val="0"/>
          <w:sz w:val="24"/>
          <w:highlight w:val="none"/>
          <w:u w:val="single"/>
          <w:lang w:eastAsia="zh-CN"/>
        </w:rPr>
        <w:t>采购包</w:t>
      </w:r>
      <w:r>
        <w:rPr>
          <w:rFonts w:hint="eastAsia" w:ascii="仿宋" w:hAnsi="仿宋" w:eastAsia="仿宋" w:cs="仿宋"/>
          <w:kern w:val="0"/>
          <w:sz w:val="24"/>
          <w:highlight w:val="none"/>
          <w:u w:val="single"/>
        </w:rPr>
        <w:t>、品目号”）</w:t>
      </w:r>
      <w:r>
        <w:rPr>
          <w:rFonts w:hint="eastAsia" w:ascii="仿宋" w:hAnsi="仿宋" w:eastAsia="仿宋" w:cs="仿宋"/>
          <w:kern w:val="0"/>
          <w:sz w:val="24"/>
          <w:highlight w:val="none"/>
        </w:rPr>
        <w:t>货物（不包括使用非残疾人福利性单位注册商标的货物）。（说明：只有部分货物由残疾人福利企业制造的，在该货物后标</w:t>
      </w:r>
      <w:r>
        <w:rPr>
          <w:rFonts w:hint="eastAsia" w:ascii="仿宋" w:hAnsi="仿宋" w:eastAsia="仿宋" w:cs="仿宋"/>
          <w:kern w:val="0"/>
          <w:sz w:val="24"/>
          <w:highlight w:val="none"/>
          <w:shd w:val="clear" w:color="auto" w:fill="FFFFFF"/>
        </w:rPr>
        <w:t>★</w:t>
      </w:r>
      <w:r>
        <w:rPr>
          <w:rFonts w:hint="eastAsia" w:ascii="仿宋" w:hAnsi="仿宋" w:eastAsia="仿宋" w:cs="仿宋"/>
          <w:kern w:val="0"/>
          <w:sz w:val="24"/>
          <w:highlight w:val="none"/>
        </w:rPr>
        <w:t>）</w:t>
      </w:r>
    </w:p>
    <w:p w14:paraId="350BCAF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）由本供应商承建的</w:t>
      </w:r>
      <w:r>
        <w:rPr>
          <w:rFonts w:hint="eastAsia" w:ascii="仿宋" w:hAnsi="仿宋" w:eastAsia="仿宋" w:cs="仿宋"/>
          <w:kern w:val="0"/>
          <w:sz w:val="24"/>
          <w:highlight w:val="none"/>
          <w:u w:val="single"/>
        </w:rPr>
        <w:t>（填写“所投</w:t>
      </w:r>
      <w:r>
        <w:rPr>
          <w:rFonts w:hint="eastAsia" w:ascii="仿宋" w:hAnsi="仿宋" w:eastAsia="仿宋" w:cs="仿宋"/>
          <w:kern w:val="0"/>
          <w:sz w:val="24"/>
          <w:highlight w:val="none"/>
          <w:u w:val="single"/>
          <w:lang w:eastAsia="zh-CN"/>
        </w:rPr>
        <w:t>采购包</w:t>
      </w:r>
      <w:r>
        <w:rPr>
          <w:rFonts w:hint="eastAsia" w:ascii="仿宋" w:hAnsi="仿宋" w:eastAsia="仿宋" w:cs="仿宋"/>
          <w:kern w:val="0"/>
          <w:sz w:val="24"/>
          <w:highlight w:val="none"/>
          <w:u w:val="single"/>
        </w:rPr>
        <w:t>、品目号”）</w:t>
      </w:r>
      <w:r>
        <w:rPr>
          <w:rFonts w:hint="eastAsia" w:ascii="仿宋" w:hAnsi="仿宋" w:eastAsia="仿宋" w:cs="仿宋"/>
          <w:kern w:val="0"/>
          <w:sz w:val="24"/>
          <w:highlight w:val="none"/>
        </w:rPr>
        <w:t>工程</w:t>
      </w:r>
    </w:p>
    <w:p w14:paraId="7EF8A0C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）由本供应商承接的</w:t>
      </w:r>
      <w:r>
        <w:rPr>
          <w:rFonts w:hint="eastAsia" w:ascii="仿宋" w:hAnsi="仿宋" w:eastAsia="仿宋" w:cs="仿宋"/>
          <w:kern w:val="0"/>
          <w:sz w:val="24"/>
          <w:highlight w:val="none"/>
          <w:u w:val="single"/>
        </w:rPr>
        <w:t>（填写“所投</w:t>
      </w:r>
      <w:r>
        <w:rPr>
          <w:rFonts w:hint="eastAsia" w:ascii="仿宋" w:hAnsi="仿宋" w:eastAsia="仿宋" w:cs="仿宋"/>
          <w:kern w:val="0"/>
          <w:sz w:val="24"/>
          <w:highlight w:val="none"/>
          <w:u w:val="single"/>
          <w:lang w:eastAsia="zh-CN"/>
        </w:rPr>
        <w:t>采购包</w:t>
      </w:r>
      <w:r>
        <w:rPr>
          <w:rFonts w:hint="eastAsia" w:ascii="仿宋" w:hAnsi="仿宋" w:eastAsia="仿宋" w:cs="仿宋"/>
          <w:kern w:val="0"/>
          <w:sz w:val="24"/>
          <w:highlight w:val="none"/>
          <w:u w:val="single"/>
        </w:rPr>
        <w:t>、品目号”）</w:t>
      </w:r>
      <w:r>
        <w:rPr>
          <w:rFonts w:hint="eastAsia" w:ascii="仿宋" w:hAnsi="仿宋" w:eastAsia="仿宋" w:cs="仿宋"/>
          <w:kern w:val="0"/>
          <w:sz w:val="24"/>
          <w:highlight w:val="none"/>
        </w:rPr>
        <w:t>服务；</w:t>
      </w:r>
    </w:p>
    <w:p w14:paraId="1A9FAA0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本供应商对上述声明的真实性负责。如有虚假，将依法承担相应责任。</w:t>
      </w:r>
    </w:p>
    <w:p w14:paraId="47411A0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457ACB0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485891D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w:t>
      </w:r>
      <w:r>
        <w:rPr>
          <w:rFonts w:hint="eastAsia" w:ascii="仿宋" w:hAnsi="仿宋" w:eastAsia="仿宋" w:cs="仿宋"/>
          <w:kern w:val="0"/>
          <w:sz w:val="24"/>
          <w:highlight w:val="none"/>
          <w:u w:val="single"/>
        </w:rPr>
        <w:t>             （签字） </w:t>
      </w:r>
    </w:p>
    <w:p w14:paraId="2926D63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（全称并加盖公章）  </w:t>
      </w:r>
    </w:p>
    <w:p w14:paraId="4BD58BD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  期：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29B95D7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p>
    <w:p w14:paraId="680164B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备注：（1）若供应商不符合残疾人福利性单位，不用提供本声明函，否则视为提供虚假材料。供应商在提交最后报价前，如果已向磋商小组提交上述声明函，视同为供应商符合残疾人福利性单位。</w:t>
      </w:r>
    </w:p>
    <w:p w14:paraId="1F89824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（2）请供应商按照实际情况编制填写本声明函，并在相应的（）中打“√”。</w:t>
      </w:r>
    </w:p>
    <w:p w14:paraId="0B519CC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（3）纸质响应文件正本中的本声明函（若有）应为原件。</w:t>
      </w:r>
    </w:p>
    <w:p w14:paraId="5388106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（4）若《残疾人福利性单位声明函》内容不真实，视为提供虚假材料。</w:t>
      </w:r>
    </w:p>
    <w:p w14:paraId="7217E1A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p>
    <w:p w14:paraId="3B07D21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kern w:val="0"/>
          <w:sz w:val="24"/>
          <w:highlight w:val="none"/>
        </w:rPr>
        <w:t> </w:t>
      </w:r>
    </w:p>
    <w:p w14:paraId="759A4971">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四-7其他资格证明文件（如果有的话）</w:t>
      </w:r>
    </w:p>
    <w:p w14:paraId="6276334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11E8A1C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说明：1、采购人或采购代理机构可以根据项目的特点和需要，在磋商文件“供应商的资格”中特定资格条件，对</w:t>
      </w:r>
      <w:r>
        <w:rPr>
          <w:rFonts w:hint="eastAsia" w:ascii="仿宋" w:hAnsi="仿宋" w:eastAsia="仿宋" w:cs="仿宋"/>
          <w:kern w:val="0"/>
          <w:sz w:val="24"/>
          <w:highlight w:val="none"/>
          <w:lang w:eastAsia="zh-CN"/>
        </w:rPr>
        <w:t>其他</w:t>
      </w:r>
      <w:r>
        <w:rPr>
          <w:rFonts w:hint="eastAsia" w:ascii="仿宋" w:hAnsi="仿宋" w:eastAsia="仿宋" w:cs="仿宋"/>
          <w:kern w:val="0"/>
          <w:sz w:val="24"/>
          <w:highlight w:val="none"/>
        </w:rPr>
        <w:t>资格证明文件进行具体规定，供应商应按照磋商文件要求，在此项下提供相关证明材料，并加盖供应商单位公章。</w:t>
      </w:r>
    </w:p>
    <w:p w14:paraId="15DDBEB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2、若磋商文件规定接受联合体形式且供应商为联合体的，涉及联合体成员的</w:t>
      </w:r>
      <w:r>
        <w:rPr>
          <w:rFonts w:hint="eastAsia" w:ascii="仿宋" w:hAnsi="仿宋" w:eastAsia="仿宋" w:cs="仿宋"/>
          <w:kern w:val="0"/>
          <w:sz w:val="24"/>
          <w:highlight w:val="none"/>
          <w:lang w:eastAsia="zh-CN"/>
        </w:rPr>
        <w:t>其他</w:t>
      </w:r>
      <w:r>
        <w:rPr>
          <w:rFonts w:hint="eastAsia" w:ascii="仿宋" w:hAnsi="仿宋" w:eastAsia="仿宋" w:cs="仿宋"/>
          <w:kern w:val="0"/>
          <w:sz w:val="24"/>
          <w:highlight w:val="none"/>
        </w:rPr>
        <w:t>资格证明文件在此处提供相关证明材料，并加盖供应商单位公章。</w:t>
      </w:r>
    </w:p>
    <w:p w14:paraId="22B81EA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562EE33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06B39D7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31A0D68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w:t>
      </w:r>
      <w:r>
        <w:rPr>
          <w:rFonts w:hint="eastAsia" w:ascii="仿宋" w:hAnsi="仿宋" w:eastAsia="仿宋" w:cs="仿宋"/>
          <w:kern w:val="0"/>
          <w:sz w:val="24"/>
          <w:highlight w:val="none"/>
          <w:u w:val="single"/>
        </w:rPr>
        <w:t>             （签字） </w:t>
      </w:r>
    </w:p>
    <w:p w14:paraId="3A4B8DB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（全称并加盖公章）  </w:t>
      </w:r>
    </w:p>
    <w:p w14:paraId="110C2B4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  期：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359C0E9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kern w:val="0"/>
          <w:sz w:val="24"/>
          <w:highlight w:val="none"/>
        </w:rPr>
        <w:t> </w:t>
      </w:r>
    </w:p>
    <w:p w14:paraId="1499D483">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五、磋商保证金凭证</w:t>
      </w:r>
    </w:p>
    <w:p w14:paraId="5482964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490C8772">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编制说明</w:t>
      </w:r>
    </w:p>
    <w:p w14:paraId="25F09AB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5885E38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1、在此项下提交的“</w:t>
      </w:r>
      <w:r>
        <w:rPr>
          <w:rFonts w:hint="eastAsia" w:ascii="仿宋" w:hAnsi="仿宋" w:eastAsia="仿宋" w:cs="仿宋"/>
          <w:b/>
          <w:bCs/>
          <w:kern w:val="0"/>
          <w:sz w:val="24"/>
          <w:highlight w:val="none"/>
        </w:rPr>
        <w:t>磋商保证金</w:t>
      </w:r>
      <w:r>
        <w:rPr>
          <w:rFonts w:hint="eastAsia" w:ascii="仿宋" w:hAnsi="仿宋" w:eastAsia="仿宋" w:cs="仿宋"/>
          <w:kern w:val="0"/>
          <w:sz w:val="24"/>
          <w:highlight w:val="none"/>
        </w:rPr>
        <w:t>”材料可使用转账凭证复印件。</w:t>
      </w:r>
    </w:p>
    <w:p w14:paraId="21C40C8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kern w:val="0"/>
          <w:sz w:val="24"/>
          <w:highlight w:val="none"/>
        </w:rPr>
        <w:t>2、磋商保证金是否已提交按照磋商文件规定执行。</w:t>
      </w:r>
      <w:r>
        <w:rPr>
          <w:rFonts w:hint="eastAsia" w:ascii="仿宋" w:hAnsi="仿宋" w:eastAsia="仿宋" w:cs="仿宋"/>
          <w:kern w:val="0"/>
          <w:sz w:val="24"/>
          <w:highlight w:val="none"/>
        </w:rPr>
        <w:br w:type="textWrapping"/>
      </w:r>
    </w:p>
    <w:p w14:paraId="2472EFF6">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六、带“★”号条款逐条响应情况表</w:t>
      </w:r>
    </w:p>
    <w:p w14:paraId="2E7B7F3E">
      <w:pPr>
        <w:widowControl/>
        <w:spacing w:line="360" w:lineRule="auto"/>
        <w:ind w:firstLine="720" w:firstLineChars="3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项目名称：                       </w:t>
      </w:r>
      <w:r>
        <w:rPr>
          <w:rFonts w:hint="eastAsia" w:ascii="仿宋" w:hAnsi="仿宋" w:eastAsia="仿宋" w:cs="仿宋"/>
          <w:kern w:val="0"/>
          <w:sz w:val="24"/>
          <w:szCs w:val="24"/>
          <w:highlight w:val="none"/>
          <w:lang w:val="en-US" w:eastAsia="zh-CN"/>
        </w:rPr>
        <w:t>项目</w:t>
      </w:r>
      <w:r>
        <w:rPr>
          <w:rFonts w:hint="eastAsia" w:ascii="仿宋" w:hAnsi="仿宋" w:eastAsia="仿宋" w:cs="仿宋"/>
          <w:kern w:val="0"/>
          <w:sz w:val="24"/>
          <w:szCs w:val="24"/>
          <w:highlight w:val="none"/>
        </w:rPr>
        <w:t xml:space="preserve">编号：           </w:t>
      </w:r>
    </w:p>
    <w:tbl>
      <w:tblPr>
        <w:tblStyle w:val="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68"/>
        <w:gridCol w:w="3333"/>
        <w:gridCol w:w="1836"/>
        <w:gridCol w:w="2627"/>
      </w:tblGrid>
      <w:tr w14:paraId="30FA7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jc w:val="center"/>
        </w:trPr>
        <w:tc>
          <w:tcPr>
            <w:tcW w:w="968" w:type="dxa"/>
            <w:vAlign w:val="center"/>
          </w:tcPr>
          <w:p w14:paraId="00A12794">
            <w:pPr>
              <w:widowControl/>
              <w:spacing w:line="360" w:lineRule="auto"/>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条款号</w:t>
            </w:r>
          </w:p>
        </w:tc>
        <w:tc>
          <w:tcPr>
            <w:tcW w:w="3333" w:type="dxa"/>
            <w:vAlign w:val="center"/>
          </w:tcPr>
          <w:p w14:paraId="7E27A6F4">
            <w:pPr>
              <w:widowControl/>
              <w:spacing w:line="360" w:lineRule="auto"/>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磋商文件</w:t>
            </w:r>
            <w:r>
              <w:rPr>
                <w:rFonts w:hint="eastAsia" w:ascii="仿宋" w:hAnsi="仿宋" w:eastAsia="仿宋" w:cs="仿宋"/>
                <w:kern w:val="0"/>
                <w:sz w:val="24"/>
                <w:szCs w:val="24"/>
                <w:highlight w:val="none"/>
              </w:rPr>
              <w:t>中带“★”号的条款</w:t>
            </w:r>
          </w:p>
        </w:tc>
        <w:tc>
          <w:tcPr>
            <w:tcW w:w="1836" w:type="dxa"/>
            <w:vAlign w:val="center"/>
          </w:tcPr>
          <w:p w14:paraId="28E338F2">
            <w:pPr>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kern w:val="0"/>
                <w:sz w:val="24"/>
                <w:szCs w:val="24"/>
                <w:highlight w:val="none"/>
              </w:rPr>
            </w:pPr>
            <w:r>
              <w:rPr>
                <w:rFonts w:hint="eastAsia" w:ascii="仿宋" w:hAnsi="仿宋" w:eastAsia="仿宋" w:cs="仿宋"/>
                <w:kern w:val="0"/>
                <w:sz w:val="24"/>
                <w:highlight w:val="none"/>
              </w:rPr>
              <w:t>响应</w:t>
            </w:r>
            <w:r>
              <w:rPr>
                <w:rFonts w:hint="eastAsia" w:ascii="仿宋" w:hAnsi="仿宋" w:eastAsia="仿宋" w:cs="仿宋"/>
                <w:kern w:val="0"/>
                <w:sz w:val="24"/>
                <w:szCs w:val="24"/>
                <w:highlight w:val="none"/>
              </w:rPr>
              <w:t>内容</w:t>
            </w:r>
          </w:p>
        </w:tc>
        <w:tc>
          <w:tcPr>
            <w:tcW w:w="2627" w:type="dxa"/>
            <w:vAlign w:val="center"/>
          </w:tcPr>
          <w:p w14:paraId="5B873665">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对应</w:t>
            </w:r>
            <w:r>
              <w:rPr>
                <w:rFonts w:hint="eastAsia" w:ascii="仿宋" w:hAnsi="仿宋" w:eastAsia="仿宋" w:cs="仿宋"/>
                <w:kern w:val="0"/>
                <w:sz w:val="24"/>
                <w:szCs w:val="24"/>
                <w:highlight w:val="none"/>
                <w:lang w:eastAsia="zh-CN"/>
              </w:rPr>
              <w:t>磋商文件</w:t>
            </w:r>
            <w:r>
              <w:rPr>
                <w:rFonts w:hint="eastAsia" w:ascii="仿宋" w:hAnsi="仿宋" w:eastAsia="仿宋" w:cs="仿宋"/>
                <w:kern w:val="0"/>
                <w:sz w:val="24"/>
                <w:szCs w:val="24"/>
                <w:highlight w:val="none"/>
              </w:rPr>
              <w:t>页码</w:t>
            </w:r>
          </w:p>
        </w:tc>
      </w:tr>
      <w:tr w14:paraId="259EB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jc w:val="center"/>
        </w:trPr>
        <w:tc>
          <w:tcPr>
            <w:tcW w:w="968" w:type="dxa"/>
            <w:vAlign w:val="center"/>
          </w:tcPr>
          <w:p w14:paraId="7B320C21">
            <w:pPr>
              <w:widowControl/>
              <w:spacing w:line="360" w:lineRule="auto"/>
              <w:jc w:val="left"/>
              <w:rPr>
                <w:rFonts w:ascii="仿宋" w:hAnsi="仿宋" w:eastAsia="仿宋" w:cs="仿宋"/>
                <w:kern w:val="0"/>
                <w:sz w:val="24"/>
                <w:szCs w:val="24"/>
                <w:highlight w:val="none"/>
              </w:rPr>
            </w:pPr>
          </w:p>
        </w:tc>
        <w:tc>
          <w:tcPr>
            <w:tcW w:w="3333" w:type="dxa"/>
            <w:vAlign w:val="center"/>
          </w:tcPr>
          <w:p w14:paraId="27C8DC72">
            <w:pPr>
              <w:widowControl/>
              <w:spacing w:line="360" w:lineRule="auto"/>
              <w:jc w:val="left"/>
              <w:rPr>
                <w:rFonts w:ascii="仿宋" w:hAnsi="仿宋" w:eastAsia="仿宋" w:cs="仿宋"/>
                <w:kern w:val="0"/>
                <w:sz w:val="24"/>
                <w:szCs w:val="24"/>
                <w:highlight w:val="none"/>
              </w:rPr>
            </w:pPr>
          </w:p>
        </w:tc>
        <w:tc>
          <w:tcPr>
            <w:tcW w:w="1836" w:type="dxa"/>
            <w:vAlign w:val="center"/>
          </w:tcPr>
          <w:p w14:paraId="6C11BE5A">
            <w:pPr>
              <w:widowControl/>
              <w:spacing w:line="360" w:lineRule="auto"/>
              <w:jc w:val="left"/>
              <w:rPr>
                <w:rFonts w:ascii="仿宋" w:hAnsi="仿宋" w:eastAsia="仿宋" w:cs="仿宋"/>
                <w:kern w:val="0"/>
                <w:sz w:val="24"/>
                <w:szCs w:val="24"/>
                <w:highlight w:val="none"/>
              </w:rPr>
            </w:pPr>
          </w:p>
        </w:tc>
        <w:tc>
          <w:tcPr>
            <w:tcW w:w="2627" w:type="dxa"/>
            <w:vAlign w:val="center"/>
          </w:tcPr>
          <w:p w14:paraId="686F59F8">
            <w:pPr>
              <w:widowControl/>
              <w:spacing w:line="360" w:lineRule="auto"/>
              <w:jc w:val="left"/>
              <w:rPr>
                <w:rFonts w:ascii="仿宋" w:hAnsi="仿宋" w:eastAsia="仿宋" w:cs="仿宋"/>
                <w:kern w:val="0"/>
                <w:sz w:val="24"/>
                <w:szCs w:val="24"/>
                <w:highlight w:val="none"/>
              </w:rPr>
            </w:pPr>
          </w:p>
        </w:tc>
      </w:tr>
      <w:tr w14:paraId="15DCF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jc w:val="center"/>
        </w:trPr>
        <w:tc>
          <w:tcPr>
            <w:tcW w:w="968" w:type="dxa"/>
            <w:vAlign w:val="center"/>
          </w:tcPr>
          <w:p w14:paraId="4EB7F5E4">
            <w:pPr>
              <w:widowControl/>
              <w:spacing w:line="360" w:lineRule="auto"/>
              <w:jc w:val="left"/>
              <w:rPr>
                <w:rFonts w:ascii="仿宋" w:hAnsi="仿宋" w:eastAsia="仿宋" w:cs="仿宋"/>
                <w:kern w:val="0"/>
                <w:sz w:val="24"/>
                <w:szCs w:val="24"/>
                <w:highlight w:val="none"/>
              </w:rPr>
            </w:pPr>
          </w:p>
        </w:tc>
        <w:tc>
          <w:tcPr>
            <w:tcW w:w="3333" w:type="dxa"/>
            <w:vAlign w:val="center"/>
          </w:tcPr>
          <w:p w14:paraId="6506A2A4">
            <w:pPr>
              <w:widowControl/>
              <w:spacing w:line="360" w:lineRule="auto"/>
              <w:jc w:val="left"/>
              <w:rPr>
                <w:rFonts w:ascii="仿宋" w:hAnsi="仿宋" w:eastAsia="仿宋" w:cs="仿宋"/>
                <w:kern w:val="0"/>
                <w:sz w:val="24"/>
                <w:szCs w:val="24"/>
                <w:highlight w:val="none"/>
              </w:rPr>
            </w:pPr>
          </w:p>
        </w:tc>
        <w:tc>
          <w:tcPr>
            <w:tcW w:w="1836" w:type="dxa"/>
            <w:vAlign w:val="center"/>
          </w:tcPr>
          <w:p w14:paraId="1307E078">
            <w:pPr>
              <w:widowControl/>
              <w:spacing w:line="360" w:lineRule="auto"/>
              <w:jc w:val="left"/>
              <w:rPr>
                <w:rFonts w:ascii="仿宋" w:hAnsi="仿宋" w:eastAsia="仿宋" w:cs="仿宋"/>
                <w:kern w:val="0"/>
                <w:sz w:val="24"/>
                <w:szCs w:val="24"/>
                <w:highlight w:val="none"/>
              </w:rPr>
            </w:pPr>
          </w:p>
        </w:tc>
        <w:tc>
          <w:tcPr>
            <w:tcW w:w="2627" w:type="dxa"/>
            <w:vAlign w:val="center"/>
          </w:tcPr>
          <w:p w14:paraId="4B96AB56">
            <w:pPr>
              <w:widowControl/>
              <w:spacing w:line="360" w:lineRule="auto"/>
              <w:jc w:val="left"/>
              <w:rPr>
                <w:rFonts w:ascii="仿宋" w:hAnsi="仿宋" w:eastAsia="仿宋" w:cs="仿宋"/>
                <w:kern w:val="0"/>
                <w:sz w:val="24"/>
                <w:szCs w:val="24"/>
                <w:highlight w:val="none"/>
              </w:rPr>
            </w:pPr>
          </w:p>
        </w:tc>
      </w:tr>
      <w:tr w14:paraId="395B2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jc w:val="center"/>
        </w:trPr>
        <w:tc>
          <w:tcPr>
            <w:tcW w:w="968" w:type="dxa"/>
            <w:vAlign w:val="center"/>
          </w:tcPr>
          <w:p w14:paraId="2512BAE1">
            <w:pPr>
              <w:widowControl/>
              <w:spacing w:line="360" w:lineRule="auto"/>
              <w:jc w:val="left"/>
              <w:rPr>
                <w:rFonts w:ascii="仿宋" w:hAnsi="仿宋" w:eastAsia="仿宋" w:cs="仿宋"/>
                <w:kern w:val="0"/>
                <w:sz w:val="24"/>
                <w:szCs w:val="24"/>
                <w:highlight w:val="none"/>
              </w:rPr>
            </w:pPr>
          </w:p>
        </w:tc>
        <w:tc>
          <w:tcPr>
            <w:tcW w:w="3333" w:type="dxa"/>
            <w:vAlign w:val="center"/>
          </w:tcPr>
          <w:p w14:paraId="24075975">
            <w:pPr>
              <w:widowControl/>
              <w:spacing w:line="360" w:lineRule="auto"/>
              <w:jc w:val="left"/>
              <w:rPr>
                <w:rFonts w:ascii="仿宋" w:hAnsi="仿宋" w:eastAsia="仿宋" w:cs="仿宋"/>
                <w:kern w:val="0"/>
                <w:sz w:val="24"/>
                <w:szCs w:val="24"/>
                <w:highlight w:val="none"/>
              </w:rPr>
            </w:pPr>
          </w:p>
        </w:tc>
        <w:tc>
          <w:tcPr>
            <w:tcW w:w="1836" w:type="dxa"/>
            <w:vAlign w:val="center"/>
          </w:tcPr>
          <w:p w14:paraId="7B020C3C">
            <w:pPr>
              <w:widowControl/>
              <w:spacing w:line="360" w:lineRule="auto"/>
              <w:jc w:val="left"/>
              <w:rPr>
                <w:rFonts w:ascii="仿宋" w:hAnsi="仿宋" w:eastAsia="仿宋" w:cs="仿宋"/>
                <w:kern w:val="0"/>
                <w:sz w:val="24"/>
                <w:szCs w:val="24"/>
                <w:highlight w:val="none"/>
              </w:rPr>
            </w:pPr>
          </w:p>
        </w:tc>
        <w:tc>
          <w:tcPr>
            <w:tcW w:w="2627" w:type="dxa"/>
            <w:vAlign w:val="center"/>
          </w:tcPr>
          <w:p w14:paraId="7DDD0821">
            <w:pPr>
              <w:widowControl/>
              <w:spacing w:line="360" w:lineRule="auto"/>
              <w:jc w:val="left"/>
              <w:rPr>
                <w:rFonts w:ascii="仿宋" w:hAnsi="仿宋" w:eastAsia="仿宋" w:cs="仿宋"/>
                <w:kern w:val="0"/>
                <w:sz w:val="24"/>
                <w:szCs w:val="24"/>
                <w:highlight w:val="none"/>
              </w:rPr>
            </w:pPr>
          </w:p>
        </w:tc>
      </w:tr>
      <w:tr w14:paraId="69CAF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jc w:val="center"/>
        </w:trPr>
        <w:tc>
          <w:tcPr>
            <w:tcW w:w="968" w:type="dxa"/>
            <w:vAlign w:val="center"/>
          </w:tcPr>
          <w:p w14:paraId="206A3541">
            <w:pPr>
              <w:widowControl/>
              <w:spacing w:line="360" w:lineRule="auto"/>
              <w:jc w:val="left"/>
              <w:rPr>
                <w:rFonts w:ascii="仿宋" w:hAnsi="仿宋" w:eastAsia="仿宋" w:cs="仿宋"/>
                <w:kern w:val="0"/>
                <w:sz w:val="24"/>
                <w:szCs w:val="24"/>
                <w:highlight w:val="none"/>
              </w:rPr>
            </w:pPr>
          </w:p>
        </w:tc>
        <w:tc>
          <w:tcPr>
            <w:tcW w:w="3333" w:type="dxa"/>
            <w:vAlign w:val="center"/>
          </w:tcPr>
          <w:p w14:paraId="77F1353D">
            <w:pPr>
              <w:widowControl/>
              <w:spacing w:line="360" w:lineRule="auto"/>
              <w:jc w:val="left"/>
              <w:rPr>
                <w:rFonts w:ascii="仿宋" w:hAnsi="仿宋" w:eastAsia="仿宋" w:cs="仿宋"/>
                <w:kern w:val="0"/>
                <w:sz w:val="24"/>
                <w:szCs w:val="24"/>
                <w:highlight w:val="none"/>
              </w:rPr>
            </w:pPr>
          </w:p>
        </w:tc>
        <w:tc>
          <w:tcPr>
            <w:tcW w:w="1836" w:type="dxa"/>
            <w:vAlign w:val="center"/>
          </w:tcPr>
          <w:p w14:paraId="4083B7DA">
            <w:pPr>
              <w:widowControl/>
              <w:spacing w:line="360" w:lineRule="auto"/>
              <w:jc w:val="left"/>
              <w:rPr>
                <w:rFonts w:ascii="仿宋" w:hAnsi="仿宋" w:eastAsia="仿宋" w:cs="仿宋"/>
                <w:kern w:val="0"/>
                <w:sz w:val="24"/>
                <w:szCs w:val="24"/>
                <w:highlight w:val="none"/>
              </w:rPr>
            </w:pPr>
          </w:p>
        </w:tc>
        <w:tc>
          <w:tcPr>
            <w:tcW w:w="2627" w:type="dxa"/>
            <w:vAlign w:val="center"/>
          </w:tcPr>
          <w:p w14:paraId="42DEAA91">
            <w:pPr>
              <w:widowControl/>
              <w:spacing w:line="360" w:lineRule="auto"/>
              <w:jc w:val="left"/>
              <w:rPr>
                <w:rFonts w:ascii="仿宋" w:hAnsi="仿宋" w:eastAsia="仿宋" w:cs="仿宋"/>
                <w:kern w:val="0"/>
                <w:sz w:val="24"/>
                <w:szCs w:val="24"/>
                <w:highlight w:val="none"/>
              </w:rPr>
            </w:pPr>
          </w:p>
        </w:tc>
      </w:tr>
      <w:tr w14:paraId="3DEA3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jc w:val="center"/>
        </w:trPr>
        <w:tc>
          <w:tcPr>
            <w:tcW w:w="968" w:type="dxa"/>
            <w:vAlign w:val="center"/>
          </w:tcPr>
          <w:p w14:paraId="3B605498">
            <w:pPr>
              <w:widowControl/>
              <w:spacing w:line="360" w:lineRule="auto"/>
              <w:jc w:val="left"/>
              <w:rPr>
                <w:rFonts w:ascii="仿宋" w:hAnsi="仿宋" w:eastAsia="仿宋" w:cs="仿宋"/>
                <w:kern w:val="0"/>
                <w:sz w:val="24"/>
                <w:szCs w:val="24"/>
                <w:highlight w:val="none"/>
              </w:rPr>
            </w:pPr>
          </w:p>
        </w:tc>
        <w:tc>
          <w:tcPr>
            <w:tcW w:w="3333" w:type="dxa"/>
            <w:vAlign w:val="center"/>
          </w:tcPr>
          <w:p w14:paraId="6B93D468">
            <w:pPr>
              <w:widowControl/>
              <w:spacing w:line="360" w:lineRule="auto"/>
              <w:jc w:val="left"/>
              <w:rPr>
                <w:rFonts w:ascii="仿宋" w:hAnsi="仿宋" w:eastAsia="仿宋" w:cs="仿宋"/>
                <w:kern w:val="0"/>
                <w:sz w:val="24"/>
                <w:szCs w:val="24"/>
                <w:highlight w:val="none"/>
              </w:rPr>
            </w:pPr>
          </w:p>
        </w:tc>
        <w:tc>
          <w:tcPr>
            <w:tcW w:w="1836" w:type="dxa"/>
            <w:vAlign w:val="center"/>
          </w:tcPr>
          <w:p w14:paraId="15B00622">
            <w:pPr>
              <w:widowControl/>
              <w:spacing w:line="360" w:lineRule="auto"/>
              <w:jc w:val="left"/>
              <w:rPr>
                <w:rFonts w:ascii="仿宋" w:hAnsi="仿宋" w:eastAsia="仿宋" w:cs="仿宋"/>
                <w:kern w:val="0"/>
                <w:sz w:val="24"/>
                <w:szCs w:val="24"/>
                <w:highlight w:val="none"/>
              </w:rPr>
            </w:pPr>
          </w:p>
        </w:tc>
        <w:tc>
          <w:tcPr>
            <w:tcW w:w="2627" w:type="dxa"/>
            <w:vAlign w:val="center"/>
          </w:tcPr>
          <w:p w14:paraId="4295C25D">
            <w:pPr>
              <w:widowControl/>
              <w:spacing w:line="360" w:lineRule="auto"/>
              <w:jc w:val="left"/>
              <w:rPr>
                <w:rFonts w:ascii="仿宋" w:hAnsi="仿宋" w:eastAsia="仿宋" w:cs="仿宋"/>
                <w:kern w:val="0"/>
                <w:sz w:val="24"/>
                <w:szCs w:val="24"/>
                <w:highlight w:val="none"/>
              </w:rPr>
            </w:pPr>
          </w:p>
        </w:tc>
      </w:tr>
    </w:tbl>
    <w:p w14:paraId="6799387C">
      <w:pPr>
        <w:widowControl/>
        <w:spacing w:line="360" w:lineRule="auto"/>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以上★号条款为</w:t>
      </w:r>
      <w:r>
        <w:rPr>
          <w:rFonts w:hint="eastAsia" w:ascii="仿宋" w:hAnsi="仿宋" w:eastAsia="仿宋" w:cs="仿宋"/>
          <w:kern w:val="0"/>
          <w:sz w:val="24"/>
          <w:szCs w:val="24"/>
          <w:highlight w:val="none"/>
          <w:lang w:eastAsia="zh-CN"/>
        </w:rPr>
        <w:t>磋商文件</w:t>
      </w:r>
      <w:r>
        <w:rPr>
          <w:rFonts w:hint="eastAsia" w:ascii="仿宋" w:hAnsi="仿宋" w:eastAsia="仿宋" w:cs="仿宋"/>
          <w:kern w:val="0"/>
          <w:sz w:val="24"/>
          <w:szCs w:val="24"/>
          <w:highlight w:val="none"/>
        </w:rPr>
        <w:t>中的所有★号条款，无论是技术指标或文字描述要求，</w:t>
      </w:r>
      <w:r>
        <w:rPr>
          <w:rFonts w:hint="eastAsia" w:ascii="仿宋" w:hAnsi="仿宋" w:eastAsia="仿宋" w:cs="仿宋"/>
          <w:kern w:val="0"/>
          <w:sz w:val="24"/>
          <w:szCs w:val="24"/>
          <w:highlight w:val="none"/>
          <w:lang w:eastAsia="zh-CN"/>
        </w:rPr>
        <w:t>供应商</w:t>
      </w:r>
      <w:r>
        <w:rPr>
          <w:rFonts w:hint="eastAsia" w:ascii="仿宋" w:hAnsi="仿宋" w:eastAsia="仿宋" w:cs="仿宋"/>
          <w:kern w:val="0"/>
          <w:sz w:val="24"/>
          <w:szCs w:val="24"/>
          <w:highlight w:val="none"/>
        </w:rPr>
        <w:t>必须逐条如实地书面响应。</w:t>
      </w:r>
    </w:p>
    <w:p w14:paraId="7F6F2248">
      <w:pPr>
        <w:widowControl/>
        <w:spacing w:line="360" w:lineRule="auto"/>
        <w:jc w:val="left"/>
        <w:rPr>
          <w:rFonts w:ascii="仿宋" w:hAnsi="仿宋" w:eastAsia="仿宋" w:cs="仿宋"/>
          <w:kern w:val="0"/>
          <w:sz w:val="24"/>
          <w:szCs w:val="24"/>
          <w:highlight w:val="none"/>
        </w:rPr>
      </w:pPr>
    </w:p>
    <w:p w14:paraId="0F8CEBB2">
      <w:pPr>
        <w:widowControl/>
        <w:spacing w:line="360" w:lineRule="auto"/>
        <w:ind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供应商</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u w:val="single"/>
        </w:rPr>
        <w:t>（全称并加盖单位公章）</w:t>
      </w:r>
    </w:p>
    <w:p w14:paraId="445F8578">
      <w:pPr>
        <w:widowControl/>
        <w:spacing w:line="360" w:lineRule="auto"/>
        <w:ind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日期：</w:t>
      </w:r>
      <w:r>
        <w:rPr>
          <w:rFonts w:hint="eastAsia" w:ascii="仿宋" w:hAnsi="仿宋" w:eastAsia="仿宋" w:cs="仿宋"/>
          <w:kern w:val="0"/>
          <w:sz w:val="24"/>
          <w:szCs w:val="24"/>
          <w:highlight w:val="none"/>
          <w:u w:val="single"/>
        </w:rPr>
        <w:t>    </w:t>
      </w:r>
      <w:r>
        <w:rPr>
          <w:rFonts w:hint="eastAsia" w:ascii="仿宋" w:hAnsi="仿宋" w:eastAsia="仿宋" w:cs="仿宋"/>
          <w:kern w:val="0"/>
          <w:sz w:val="24"/>
          <w:szCs w:val="24"/>
          <w:highlight w:val="none"/>
        </w:rPr>
        <w:t>年</w:t>
      </w:r>
      <w:r>
        <w:rPr>
          <w:rFonts w:hint="eastAsia" w:ascii="仿宋" w:hAnsi="仿宋" w:eastAsia="仿宋" w:cs="仿宋"/>
          <w:kern w:val="0"/>
          <w:sz w:val="24"/>
          <w:szCs w:val="24"/>
          <w:highlight w:val="none"/>
          <w:u w:val="single"/>
        </w:rPr>
        <w:t>   </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u w:val="single"/>
        </w:rPr>
        <w:t>   </w:t>
      </w:r>
      <w:r>
        <w:rPr>
          <w:rFonts w:hint="eastAsia" w:ascii="仿宋" w:hAnsi="仿宋" w:eastAsia="仿宋" w:cs="仿宋"/>
          <w:kern w:val="0"/>
          <w:sz w:val="24"/>
          <w:szCs w:val="24"/>
          <w:highlight w:val="none"/>
        </w:rPr>
        <w:t>日</w:t>
      </w:r>
    </w:p>
    <w:p w14:paraId="62C6B882">
      <w:pPr>
        <w:widowControl/>
        <w:spacing w:line="360" w:lineRule="auto"/>
        <w:jc w:val="center"/>
        <w:rPr>
          <w:rFonts w:ascii="黑体" w:hAnsi="黑体" w:eastAsia="黑体" w:cs="宋体"/>
          <w:b/>
          <w:bCs/>
          <w:kern w:val="0"/>
          <w:sz w:val="28"/>
          <w:szCs w:val="18"/>
          <w:highlight w:val="none"/>
        </w:rPr>
        <w:sectPr>
          <w:pgSz w:w="11906" w:h="16838"/>
          <w:pgMar w:top="1440" w:right="1077" w:bottom="1440" w:left="1077" w:header="851" w:footer="992" w:gutter="0"/>
          <w:cols w:space="425" w:num="1"/>
          <w:docGrid w:type="lines" w:linePitch="312" w:charSpace="0"/>
        </w:sectPr>
      </w:pPr>
    </w:p>
    <w:p w14:paraId="7727A626">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七、技术商务评分响应索引表</w:t>
      </w:r>
    </w:p>
    <w:tbl>
      <w:tblPr>
        <w:tblStyle w:val="18"/>
        <w:tblW w:w="8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4732"/>
        <w:gridCol w:w="3022"/>
      </w:tblGrid>
      <w:tr w14:paraId="7E983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tcBorders>
              <w:tl2br w:val="nil"/>
              <w:tr2bl w:val="nil"/>
            </w:tcBorders>
            <w:vAlign w:val="center"/>
          </w:tcPr>
          <w:p w14:paraId="35D80ECF">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序号</w:t>
            </w:r>
          </w:p>
        </w:tc>
        <w:tc>
          <w:tcPr>
            <w:tcW w:w="4732" w:type="dxa"/>
            <w:tcBorders>
              <w:tl2br w:val="nil"/>
              <w:tr2bl w:val="nil"/>
            </w:tcBorders>
            <w:vAlign w:val="center"/>
          </w:tcPr>
          <w:p w14:paraId="350C0608">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评分标准要求</w:t>
            </w:r>
          </w:p>
        </w:tc>
        <w:tc>
          <w:tcPr>
            <w:tcW w:w="3022" w:type="dxa"/>
            <w:tcBorders>
              <w:tl2br w:val="nil"/>
              <w:tr2bl w:val="nil"/>
            </w:tcBorders>
            <w:vAlign w:val="center"/>
          </w:tcPr>
          <w:p w14:paraId="6F3117CD">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对应</w:t>
            </w:r>
            <w:r>
              <w:rPr>
                <w:rFonts w:hint="eastAsia" w:ascii="仿宋" w:hAnsi="仿宋" w:eastAsia="仿宋" w:cs="仿宋"/>
                <w:kern w:val="0"/>
                <w:sz w:val="24"/>
                <w:szCs w:val="24"/>
                <w:highlight w:val="none"/>
                <w:lang w:eastAsia="zh-CN"/>
              </w:rPr>
              <w:t>磋商文件</w:t>
            </w:r>
            <w:r>
              <w:rPr>
                <w:rFonts w:hint="eastAsia" w:ascii="仿宋" w:hAnsi="仿宋" w:eastAsia="仿宋" w:cs="仿宋"/>
                <w:kern w:val="0"/>
                <w:sz w:val="24"/>
                <w:szCs w:val="24"/>
                <w:highlight w:val="none"/>
              </w:rPr>
              <w:t>页码</w:t>
            </w:r>
          </w:p>
        </w:tc>
      </w:tr>
      <w:tr w14:paraId="0E8F5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8" w:type="dxa"/>
            <w:gridSpan w:val="3"/>
            <w:tcBorders>
              <w:tl2br w:val="nil"/>
              <w:tr2bl w:val="nil"/>
            </w:tcBorders>
            <w:vAlign w:val="center"/>
          </w:tcPr>
          <w:p w14:paraId="3A1F8569">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技术因素评分</w:t>
            </w:r>
          </w:p>
        </w:tc>
      </w:tr>
      <w:tr w14:paraId="42140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tcBorders>
              <w:tl2br w:val="nil"/>
              <w:tr2bl w:val="nil"/>
            </w:tcBorders>
            <w:vAlign w:val="center"/>
          </w:tcPr>
          <w:p w14:paraId="410379E2">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1-1</w:t>
            </w:r>
          </w:p>
        </w:tc>
        <w:tc>
          <w:tcPr>
            <w:tcW w:w="4732" w:type="dxa"/>
            <w:tcBorders>
              <w:tl2br w:val="nil"/>
              <w:tr2bl w:val="nil"/>
            </w:tcBorders>
            <w:vAlign w:val="center"/>
          </w:tcPr>
          <w:p w14:paraId="27F48312">
            <w:pPr>
              <w:widowControl/>
              <w:spacing w:line="360" w:lineRule="auto"/>
              <w:jc w:val="left"/>
              <w:rPr>
                <w:rFonts w:ascii="仿宋" w:hAnsi="仿宋" w:eastAsia="仿宋" w:cs="仿宋"/>
                <w:kern w:val="0"/>
                <w:sz w:val="24"/>
                <w:szCs w:val="24"/>
                <w:highlight w:val="none"/>
              </w:rPr>
            </w:pPr>
          </w:p>
        </w:tc>
        <w:tc>
          <w:tcPr>
            <w:tcW w:w="3022" w:type="dxa"/>
            <w:tcBorders>
              <w:tl2br w:val="nil"/>
              <w:tr2bl w:val="nil"/>
            </w:tcBorders>
            <w:vAlign w:val="center"/>
          </w:tcPr>
          <w:p w14:paraId="7244E7F1">
            <w:pPr>
              <w:widowControl/>
              <w:spacing w:line="360" w:lineRule="auto"/>
              <w:jc w:val="left"/>
              <w:rPr>
                <w:rFonts w:ascii="仿宋" w:hAnsi="仿宋" w:eastAsia="仿宋" w:cs="仿宋"/>
                <w:kern w:val="0"/>
                <w:sz w:val="24"/>
                <w:szCs w:val="24"/>
                <w:highlight w:val="none"/>
              </w:rPr>
            </w:pPr>
          </w:p>
        </w:tc>
      </w:tr>
      <w:tr w14:paraId="1CC5D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tcBorders>
              <w:tl2br w:val="nil"/>
              <w:tr2bl w:val="nil"/>
            </w:tcBorders>
            <w:vAlign w:val="center"/>
          </w:tcPr>
          <w:p w14:paraId="612E4664">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1-2</w:t>
            </w:r>
          </w:p>
        </w:tc>
        <w:tc>
          <w:tcPr>
            <w:tcW w:w="4732" w:type="dxa"/>
            <w:tcBorders>
              <w:tl2br w:val="nil"/>
              <w:tr2bl w:val="nil"/>
            </w:tcBorders>
            <w:vAlign w:val="center"/>
          </w:tcPr>
          <w:p w14:paraId="386D4028">
            <w:pPr>
              <w:widowControl/>
              <w:spacing w:line="360" w:lineRule="auto"/>
              <w:jc w:val="left"/>
              <w:rPr>
                <w:rFonts w:ascii="仿宋" w:hAnsi="仿宋" w:eastAsia="仿宋" w:cs="仿宋"/>
                <w:kern w:val="0"/>
                <w:sz w:val="24"/>
                <w:szCs w:val="24"/>
                <w:highlight w:val="none"/>
              </w:rPr>
            </w:pPr>
          </w:p>
        </w:tc>
        <w:tc>
          <w:tcPr>
            <w:tcW w:w="3022" w:type="dxa"/>
            <w:tcBorders>
              <w:tl2br w:val="nil"/>
              <w:tr2bl w:val="nil"/>
            </w:tcBorders>
            <w:vAlign w:val="center"/>
          </w:tcPr>
          <w:p w14:paraId="6A1A0B3E">
            <w:pPr>
              <w:widowControl/>
              <w:spacing w:line="360" w:lineRule="auto"/>
              <w:jc w:val="left"/>
              <w:rPr>
                <w:rFonts w:ascii="仿宋" w:hAnsi="仿宋" w:eastAsia="仿宋" w:cs="仿宋"/>
                <w:kern w:val="0"/>
                <w:sz w:val="24"/>
                <w:szCs w:val="24"/>
                <w:highlight w:val="none"/>
              </w:rPr>
            </w:pPr>
          </w:p>
        </w:tc>
      </w:tr>
      <w:tr w14:paraId="43DFA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tcBorders>
              <w:tl2br w:val="nil"/>
              <w:tr2bl w:val="nil"/>
            </w:tcBorders>
            <w:vAlign w:val="center"/>
          </w:tcPr>
          <w:p w14:paraId="0A274355">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1-3</w:t>
            </w:r>
          </w:p>
        </w:tc>
        <w:tc>
          <w:tcPr>
            <w:tcW w:w="4732" w:type="dxa"/>
            <w:tcBorders>
              <w:tl2br w:val="nil"/>
              <w:tr2bl w:val="nil"/>
            </w:tcBorders>
            <w:vAlign w:val="center"/>
          </w:tcPr>
          <w:p w14:paraId="7827BAC4">
            <w:pPr>
              <w:widowControl/>
              <w:spacing w:line="360" w:lineRule="auto"/>
              <w:jc w:val="left"/>
              <w:rPr>
                <w:rFonts w:ascii="仿宋" w:hAnsi="仿宋" w:eastAsia="仿宋" w:cs="仿宋"/>
                <w:kern w:val="0"/>
                <w:sz w:val="24"/>
                <w:szCs w:val="24"/>
                <w:highlight w:val="none"/>
              </w:rPr>
            </w:pPr>
          </w:p>
        </w:tc>
        <w:tc>
          <w:tcPr>
            <w:tcW w:w="3022" w:type="dxa"/>
            <w:tcBorders>
              <w:tl2br w:val="nil"/>
              <w:tr2bl w:val="nil"/>
            </w:tcBorders>
            <w:vAlign w:val="center"/>
          </w:tcPr>
          <w:p w14:paraId="7A57A73A">
            <w:pPr>
              <w:widowControl/>
              <w:spacing w:line="360" w:lineRule="auto"/>
              <w:jc w:val="left"/>
              <w:rPr>
                <w:rFonts w:ascii="仿宋" w:hAnsi="仿宋" w:eastAsia="仿宋" w:cs="仿宋"/>
                <w:kern w:val="0"/>
                <w:sz w:val="24"/>
                <w:szCs w:val="24"/>
                <w:highlight w:val="none"/>
              </w:rPr>
            </w:pPr>
          </w:p>
        </w:tc>
      </w:tr>
      <w:tr w14:paraId="37F2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tcBorders>
              <w:tl2br w:val="nil"/>
              <w:tr2bl w:val="nil"/>
            </w:tcBorders>
            <w:vAlign w:val="center"/>
          </w:tcPr>
          <w:p w14:paraId="52B16EC4">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1-4</w:t>
            </w:r>
          </w:p>
        </w:tc>
        <w:tc>
          <w:tcPr>
            <w:tcW w:w="4732" w:type="dxa"/>
            <w:tcBorders>
              <w:tl2br w:val="nil"/>
              <w:tr2bl w:val="nil"/>
            </w:tcBorders>
            <w:vAlign w:val="center"/>
          </w:tcPr>
          <w:p w14:paraId="1F7C1B87">
            <w:pPr>
              <w:widowControl/>
              <w:spacing w:line="360" w:lineRule="auto"/>
              <w:jc w:val="left"/>
              <w:rPr>
                <w:rFonts w:ascii="仿宋" w:hAnsi="仿宋" w:eastAsia="仿宋" w:cs="仿宋"/>
                <w:kern w:val="0"/>
                <w:sz w:val="24"/>
                <w:szCs w:val="24"/>
                <w:highlight w:val="none"/>
              </w:rPr>
            </w:pPr>
          </w:p>
        </w:tc>
        <w:tc>
          <w:tcPr>
            <w:tcW w:w="3022" w:type="dxa"/>
            <w:tcBorders>
              <w:tl2br w:val="nil"/>
              <w:tr2bl w:val="nil"/>
            </w:tcBorders>
            <w:vAlign w:val="center"/>
          </w:tcPr>
          <w:p w14:paraId="5BA57460">
            <w:pPr>
              <w:widowControl/>
              <w:spacing w:line="360" w:lineRule="auto"/>
              <w:jc w:val="left"/>
              <w:rPr>
                <w:rFonts w:ascii="仿宋" w:hAnsi="仿宋" w:eastAsia="仿宋" w:cs="仿宋"/>
                <w:kern w:val="0"/>
                <w:sz w:val="24"/>
                <w:szCs w:val="24"/>
                <w:highlight w:val="none"/>
              </w:rPr>
            </w:pPr>
          </w:p>
        </w:tc>
      </w:tr>
      <w:tr w14:paraId="1DFDA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8" w:type="dxa"/>
            <w:gridSpan w:val="3"/>
            <w:tcBorders>
              <w:tl2br w:val="nil"/>
              <w:tr2bl w:val="nil"/>
            </w:tcBorders>
            <w:vAlign w:val="center"/>
          </w:tcPr>
          <w:p w14:paraId="2186EFBC">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商务因素评分</w:t>
            </w:r>
          </w:p>
        </w:tc>
      </w:tr>
      <w:tr w14:paraId="39553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tcBorders>
              <w:tl2br w:val="nil"/>
              <w:tr2bl w:val="nil"/>
            </w:tcBorders>
            <w:vAlign w:val="center"/>
          </w:tcPr>
          <w:p w14:paraId="1B27D4F1">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2-1</w:t>
            </w:r>
          </w:p>
        </w:tc>
        <w:tc>
          <w:tcPr>
            <w:tcW w:w="4732" w:type="dxa"/>
            <w:tcBorders>
              <w:tl2br w:val="nil"/>
              <w:tr2bl w:val="nil"/>
            </w:tcBorders>
            <w:vAlign w:val="center"/>
          </w:tcPr>
          <w:p w14:paraId="6938EA9A">
            <w:pPr>
              <w:widowControl/>
              <w:spacing w:line="360" w:lineRule="auto"/>
              <w:jc w:val="center"/>
              <w:rPr>
                <w:rFonts w:ascii="仿宋" w:hAnsi="仿宋" w:eastAsia="仿宋" w:cs="仿宋"/>
                <w:kern w:val="0"/>
                <w:sz w:val="24"/>
                <w:szCs w:val="24"/>
                <w:highlight w:val="none"/>
              </w:rPr>
            </w:pPr>
          </w:p>
        </w:tc>
        <w:tc>
          <w:tcPr>
            <w:tcW w:w="3022" w:type="dxa"/>
            <w:tcBorders>
              <w:tl2br w:val="nil"/>
              <w:tr2bl w:val="nil"/>
            </w:tcBorders>
            <w:vAlign w:val="center"/>
          </w:tcPr>
          <w:p w14:paraId="45749DEB">
            <w:pPr>
              <w:widowControl/>
              <w:spacing w:line="360" w:lineRule="auto"/>
              <w:jc w:val="center"/>
              <w:rPr>
                <w:rFonts w:ascii="仿宋" w:hAnsi="仿宋" w:eastAsia="仿宋" w:cs="仿宋"/>
                <w:kern w:val="0"/>
                <w:sz w:val="24"/>
                <w:szCs w:val="24"/>
                <w:highlight w:val="none"/>
              </w:rPr>
            </w:pPr>
          </w:p>
        </w:tc>
      </w:tr>
      <w:tr w14:paraId="648AC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tcBorders>
              <w:tl2br w:val="nil"/>
              <w:tr2bl w:val="nil"/>
            </w:tcBorders>
            <w:vAlign w:val="center"/>
          </w:tcPr>
          <w:p w14:paraId="52F0242E">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2-2</w:t>
            </w:r>
          </w:p>
        </w:tc>
        <w:tc>
          <w:tcPr>
            <w:tcW w:w="4732" w:type="dxa"/>
            <w:tcBorders>
              <w:tl2br w:val="nil"/>
              <w:tr2bl w:val="nil"/>
            </w:tcBorders>
            <w:vAlign w:val="center"/>
          </w:tcPr>
          <w:p w14:paraId="174D5D7B">
            <w:pPr>
              <w:widowControl/>
              <w:spacing w:line="360" w:lineRule="auto"/>
              <w:jc w:val="center"/>
              <w:rPr>
                <w:rFonts w:ascii="仿宋" w:hAnsi="仿宋" w:eastAsia="仿宋" w:cs="仿宋"/>
                <w:kern w:val="0"/>
                <w:sz w:val="24"/>
                <w:szCs w:val="24"/>
                <w:highlight w:val="none"/>
              </w:rPr>
            </w:pPr>
          </w:p>
        </w:tc>
        <w:tc>
          <w:tcPr>
            <w:tcW w:w="3022" w:type="dxa"/>
            <w:tcBorders>
              <w:tl2br w:val="nil"/>
              <w:tr2bl w:val="nil"/>
            </w:tcBorders>
            <w:vAlign w:val="center"/>
          </w:tcPr>
          <w:p w14:paraId="79E118BD">
            <w:pPr>
              <w:widowControl/>
              <w:spacing w:line="360" w:lineRule="auto"/>
              <w:jc w:val="center"/>
              <w:rPr>
                <w:rFonts w:ascii="仿宋" w:hAnsi="仿宋" w:eastAsia="仿宋" w:cs="仿宋"/>
                <w:kern w:val="0"/>
                <w:sz w:val="24"/>
                <w:szCs w:val="24"/>
                <w:highlight w:val="none"/>
              </w:rPr>
            </w:pPr>
          </w:p>
        </w:tc>
      </w:tr>
      <w:tr w14:paraId="4FD09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tcBorders>
              <w:tl2br w:val="nil"/>
              <w:tr2bl w:val="nil"/>
            </w:tcBorders>
            <w:vAlign w:val="center"/>
          </w:tcPr>
          <w:p w14:paraId="61D479B6">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2-3</w:t>
            </w:r>
          </w:p>
        </w:tc>
        <w:tc>
          <w:tcPr>
            <w:tcW w:w="4732" w:type="dxa"/>
            <w:tcBorders>
              <w:tl2br w:val="nil"/>
              <w:tr2bl w:val="nil"/>
            </w:tcBorders>
            <w:vAlign w:val="center"/>
          </w:tcPr>
          <w:p w14:paraId="6595E046">
            <w:pPr>
              <w:widowControl/>
              <w:spacing w:line="360" w:lineRule="auto"/>
              <w:jc w:val="center"/>
              <w:rPr>
                <w:rFonts w:ascii="仿宋" w:hAnsi="仿宋" w:eastAsia="仿宋" w:cs="仿宋"/>
                <w:kern w:val="0"/>
                <w:sz w:val="24"/>
                <w:szCs w:val="24"/>
                <w:highlight w:val="none"/>
              </w:rPr>
            </w:pPr>
          </w:p>
        </w:tc>
        <w:tc>
          <w:tcPr>
            <w:tcW w:w="3022" w:type="dxa"/>
            <w:tcBorders>
              <w:tl2br w:val="nil"/>
              <w:tr2bl w:val="nil"/>
            </w:tcBorders>
            <w:vAlign w:val="center"/>
          </w:tcPr>
          <w:p w14:paraId="1D9455A9">
            <w:pPr>
              <w:widowControl/>
              <w:spacing w:line="360" w:lineRule="auto"/>
              <w:jc w:val="center"/>
              <w:rPr>
                <w:rFonts w:ascii="仿宋" w:hAnsi="仿宋" w:eastAsia="仿宋" w:cs="仿宋"/>
                <w:kern w:val="0"/>
                <w:sz w:val="24"/>
                <w:szCs w:val="24"/>
                <w:highlight w:val="none"/>
              </w:rPr>
            </w:pPr>
          </w:p>
        </w:tc>
      </w:tr>
      <w:tr w14:paraId="15169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tcBorders>
              <w:tl2br w:val="nil"/>
              <w:tr2bl w:val="nil"/>
            </w:tcBorders>
            <w:vAlign w:val="center"/>
          </w:tcPr>
          <w:p w14:paraId="7B9520AC">
            <w:pPr>
              <w:widowControl/>
              <w:spacing w:line="360" w:lineRule="auto"/>
              <w:jc w:val="left"/>
              <w:rPr>
                <w:rFonts w:ascii="仿宋" w:hAnsi="仿宋" w:eastAsia="仿宋" w:cs="仿宋"/>
                <w:kern w:val="0"/>
                <w:sz w:val="24"/>
                <w:szCs w:val="24"/>
                <w:highlight w:val="none"/>
              </w:rPr>
            </w:pPr>
          </w:p>
        </w:tc>
        <w:tc>
          <w:tcPr>
            <w:tcW w:w="4732" w:type="dxa"/>
            <w:tcBorders>
              <w:tl2br w:val="nil"/>
              <w:tr2bl w:val="nil"/>
            </w:tcBorders>
            <w:vAlign w:val="center"/>
          </w:tcPr>
          <w:p w14:paraId="3625D66B">
            <w:pPr>
              <w:widowControl/>
              <w:spacing w:line="360" w:lineRule="auto"/>
              <w:jc w:val="left"/>
              <w:rPr>
                <w:rFonts w:ascii="仿宋" w:hAnsi="仿宋" w:eastAsia="仿宋" w:cs="仿宋"/>
                <w:kern w:val="0"/>
                <w:sz w:val="24"/>
                <w:szCs w:val="24"/>
                <w:highlight w:val="none"/>
              </w:rPr>
            </w:pPr>
          </w:p>
        </w:tc>
        <w:tc>
          <w:tcPr>
            <w:tcW w:w="3022" w:type="dxa"/>
            <w:tcBorders>
              <w:tl2br w:val="nil"/>
              <w:tr2bl w:val="nil"/>
            </w:tcBorders>
            <w:vAlign w:val="center"/>
          </w:tcPr>
          <w:p w14:paraId="0C7727C7">
            <w:pPr>
              <w:widowControl/>
              <w:spacing w:line="360" w:lineRule="auto"/>
              <w:jc w:val="left"/>
              <w:rPr>
                <w:rFonts w:ascii="仿宋" w:hAnsi="仿宋" w:eastAsia="仿宋" w:cs="仿宋"/>
                <w:kern w:val="0"/>
                <w:sz w:val="24"/>
                <w:szCs w:val="24"/>
                <w:highlight w:val="none"/>
              </w:rPr>
            </w:pPr>
          </w:p>
        </w:tc>
      </w:tr>
    </w:tbl>
    <w:p w14:paraId="645D1019">
      <w:pPr>
        <w:widowControl/>
        <w:spacing w:line="360" w:lineRule="auto"/>
        <w:ind w:firstLine="480" w:firstLineChars="200"/>
        <w:jc w:val="left"/>
        <w:rPr>
          <w:rFonts w:ascii="仿宋" w:hAnsi="仿宋" w:eastAsia="仿宋" w:cs="仿宋"/>
          <w:kern w:val="0"/>
          <w:sz w:val="24"/>
          <w:szCs w:val="24"/>
          <w:highlight w:val="none"/>
        </w:rPr>
      </w:pPr>
    </w:p>
    <w:p w14:paraId="5A986B40">
      <w:pPr>
        <w:widowControl/>
        <w:spacing w:line="360" w:lineRule="auto"/>
        <w:ind w:firstLine="480" w:firstLineChars="200"/>
        <w:jc w:val="left"/>
        <w:rPr>
          <w:rFonts w:ascii="仿宋" w:hAnsi="仿宋" w:eastAsia="仿宋" w:cs="仿宋"/>
          <w:kern w:val="0"/>
          <w:sz w:val="24"/>
          <w:szCs w:val="24"/>
          <w:highlight w:val="none"/>
        </w:rPr>
      </w:pPr>
    </w:p>
    <w:p w14:paraId="21844A5F">
      <w:pPr>
        <w:widowControl/>
        <w:spacing w:line="360" w:lineRule="auto"/>
        <w:ind w:firstLine="480" w:firstLineChars="200"/>
        <w:jc w:val="left"/>
        <w:rPr>
          <w:rFonts w:ascii="仿宋" w:hAnsi="仿宋" w:eastAsia="仿宋" w:cs="仿宋"/>
          <w:kern w:val="0"/>
          <w:sz w:val="24"/>
          <w:szCs w:val="24"/>
          <w:highlight w:val="none"/>
        </w:rPr>
      </w:pPr>
    </w:p>
    <w:p w14:paraId="188B01BF">
      <w:pPr>
        <w:widowControl/>
        <w:spacing w:line="360" w:lineRule="auto"/>
        <w:ind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供应商</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u w:val="single"/>
        </w:rPr>
        <w:t>（全称并加盖单位公章）</w:t>
      </w:r>
    </w:p>
    <w:p w14:paraId="23986B8B">
      <w:pPr>
        <w:widowControl/>
        <w:spacing w:line="360" w:lineRule="auto"/>
        <w:ind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日期：</w:t>
      </w:r>
      <w:r>
        <w:rPr>
          <w:rFonts w:hint="eastAsia" w:ascii="仿宋" w:hAnsi="仿宋" w:eastAsia="仿宋" w:cs="仿宋"/>
          <w:kern w:val="0"/>
          <w:sz w:val="24"/>
          <w:szCs w:val="24"/>
          <w:highlight w:val="none"/>
          <w:u w:val="single"/>
        </w:rPr>
        <w:t>    </w:t>
      </w:r>
      <w:r>
        <w:rPr>
          <w:rFonts w:hint="eastAsia" w:ascii="仿宋" w:hAnsi="仿宋" w:eastAsia="仿宋" w:cs="仿宋"/>
          <w:kern w:val="0"/>
          <w:sz w:val="24"/>
          <w:szCs w:val="24"/>
          <w:highlight w:val="none"/>
        </w:rPr>
        <w:t>年</w:t>
      </w:r>
      <w:r>
        <w:rPr>
          <w:rFonts w:hint="eastAsia" w:ascii="仿宋" w:hAnsi="仿宋" w:eastAsia="仿宋" w:cs="仿宋"/>
          <w:kern w:val="0"/>
          <w:sz w:val="24"/>
          <w:szCs w:val="24"/>
          <w:highlight w:val="none"/>
          <w:u w:val="single"/>
        </w:rPr>
        <w:t>   </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u w:val="single"/>
        </w:rPr>
        <w:t>   </w:t>
      </w:r>
      <w:r>
        <w:rPr>
          <w:rFonts w:hint="eastAsia" w:ascii="仿宋" w:hAnsi="仿宋" w:eastAsia="仿宋" w:cs="仿宋"/>
          <w:kern w:val="0"/>
          <w:sz w:val="24"/>
          <w:szCs w:val="24"/>
          <w:highlight w:val="none"/>
        </w:rPr>
        <w:t>日</w:t>
      </w:r>
    </w:p>
    <w:p w14:paraId="61CB35ED">
      <w:pPr>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仿宋" w:hAnsi="仿宋" w:eastAsia="仿宋" w:cs="宋体"/>
          <w:b/>
          <w:bCs/>
          <w:kern w:val="0"/>
          <w:sz w:val="28"/>
          <w:szCs w:val="28"/>
          <w:highlight w:val="none"/>
          <w:lang w:val="en-US" w:eastAsia="zh-CN"/>
        </w:rPr>
        <w:sectPr>
          <w:pgSz w:w="11906" w:h="16838"/>
          <w:pgMar w:top="1440" w:right="1077" w:bottom="1440" w:left="1077" w:header="851" w:footer="992" w:gutter="0"/>
          <w:cols w:space="425" w:num="1"/>
          <w:docGrid w:type="lines" w:linePitch="312" w:charSpace="0"/>
        </w:sectPr>
      </w:pPr>
    </w:p>
    <w:p w14:paraId="57070C6F">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八、业绩汇总表</w:t>
      </w:r>
    </w:p>
    <w:p w14:paraId="505D68E6">
      <w:pPr>
        <w:widowControl/>
        <w:spacing w:line="360" w:lineRule="auto"/>
        <w:ind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项目名称：                        招标编号：            </w:t>
      </w:r>
    </w:p>
    <w:tbl>
      <w:tblPr>
        <w:tblStyle w:val="18"/>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3"/>
        <w:gridCol w:w="815"/>
        <w:gridCol w:w="842"/>
        <w:gridCol w:w="1043"/>
        <w:gridCol w:w="1143"/>
        <w:gridCol w:w="1171"/>
        <w:gridCol w:w="1308"/>
        <w:gridCol w:w="1034"/>
        <w:gridCol w:w="1172"/>
      </w:tblGrid>
      <w:tr w14:paraId="5E6F1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623" w:type="dxa"/>
            <w:vMerge w:val="restart"/>
            <w:tcBorders>
              <w:tl2br w:val="nil"/>
              <w:tr2bl w:val="nil"/>
            </w:tcBorders>
            <w:vAlign w:val="center"/>
          </w:tcPr>
          <w:p w14:paraId="7B77AC7B">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序号</w:t>
            </w:r>
          </w:p>
        </w:tc>
        <w:tc>
          <w:tcPr>
            <w:tcW w:w="815" w:type="dxa"/>
            <w:vMerge w:val="restart"/>
            <w:tcBorders>
              <w:tl2br w:val="nil"/>
              <w:tr2bl w:val="nil"/>
            </w:tcBorders>
            <w:vAlign w:val="center"/>
          </w:tcPr>
          <w:p w14:paraId="42DC3F81">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项目</w:t>
            </w:r>
          </w:p>
          <w:p w14:paraId="4D2571D6">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名称</w:t>
            </w:r>
          </w:p>
        </w:tc>
        <w:tc>
          <w:tcPr>
            <w:tcW w:w="842" w:type="dxa"/>
            <w:vMerge w:val="restart"/>
            <w:tcBorders>
              <w:tl2br w:val="nil"/>
              <w:tr2bl w:val="nil"/>
            </w:tcBorders>
            <w:vAlign w:val="center"/>
          </w:tcPr>
          <w:p w14:paraId="4604E5CA">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业主</w:t>
            </w:r>
          </w:p>
          <w:p w14:paraId="4ABD8873">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名称</w:t>
            </w:r>
          </w:p>
        </w:tc>
        <w:tc>
          <w:tcPr>
            <w:tcW w:w="1043" w:type="dxa"/>
            <w:vMerge w:val="restart"/>
            <w:tcBorders>
              <w:tl2br w:val="nil"/>
              <w:tr2bl w:val="nil"/>
            </w:tcBorders>
            <w:vAlign w:val="center"/>
          </w:tcPr>
          <w:p w14:paraId="2767A5F4">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合同签订时间</w:t>
            </w:r>
          </w:p>
        </w:tc>
        <w:tc>
          <w:tcPr>
            <w:tcW w:w="1143" w:type="dxa"/>
            <w:vMerge w:val="restart"/>
            <w:tcBorders>
              <w:tl2br w:val="nil"/>
              <w:tr2bl w:val="nil"/>
            </w:tcBorders>
            <w:vAlign w:val="center"/>
          </w:tcPr>
          <w:p w14:paraId="0CECA3B8">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合同</w:t>
            </w:r>
          </w:p>
          <w:p w14:paraId="61DF2E0C">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金额</w:t>
            </w:r>
          </w:p>
          <w:p w14:paraId="60D086C9">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（万元）</w:t>
            </w:r>
          </w:p>
        </w:tc>
        <w:tc>
          <w:tcPr>
            <w:tcW w:w="4685" w:type="dxa"/>
            <w:gridSpan w:val="4"/>
            <w:tcBorders>
              <w:tl2br w:val="nil"/>
              <w:tr2bl w:val="nil"/>
            </w:tcBorders>
            <w:vAlign w:val="center"/>
          </w:tcPr>
          <w:p w14:paraId="3188C105">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业绩佐证材料</w:t>
            </w:r>
          </w:p>
        </w:tc>
      </w:tr>
      <w:tr w14:paraId="2E4F2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9" w:hRule="exact"/>
          <w:jc w:val="center"/>
        </w:trPr>
        <w:tc>
          <w:tcPr>
            <w:tcW w:w="623" w:type="dxa"/>
            <w:vMerge w:val="continue"/>
            <w:tcBorders>
              <w:tl2br w:val="nil"/>
              <w:tr2bl w:val="nil"/>
            </w:tcBorders>
            <w:vAlign w:val="center"/>
          </w:tcPr>
          <w:p w14:paraId="24FC5DE4">
            <w:pPr>
              <w:widowControl/>
              <w:spacing w:line="360" w:lineRule="auto"/>
              <w:jc w:val="center"/>
              <w:rPr>
                <w:rFonts w:ascii="仿宋" w:hAnsi="仿宋" w:eastAsia="仿宋" w:cs="仿宋"/>
                <w:kern w:val="0"/>
                <w:sz w:val="24"/>
                <w:szCs w:val="24"/>
                <w:highlight w:val="none"/>
              </w:rPr>
            </w:pPr>
          </w:p>
        </w:tc>
        <w:tc>
          <w:tcPr>
            <w:tcW w:w="815" w:type="dxa"/>
            <w:vMerge w:val="continue"/>
            <w:tcBorders>
              <w:tl2br w:val="nil"/>
              <w:tr2bl w:val="nil"/>
            </w:tcBorders>
            <w:vAlign w:val="center"/>
          </w:tcPr>
          <w:p w14:paraId="7B2CF133">
            <w:pPr>
              <w:widowControl/>
              <w:spacing w:line="360" w:lineRule="auto"/>
              <w:jc w:val="center"/>
              <w:rPr>
                <w:rFonts w:ascii="仿宋" w:hAnsi="仿宋" w:eastAsia="仿宋" w:cs="仿宋"/>
                <w:kern w:val="0"/>
                <w:sz w:val="24"/>
                <w:szCs w:val="24"/>
                <w:highlight w:val="none"/>
              </w:rPr>
            </w:pPr>
          </w:p>
        </w:tc>
        <w:tc>
          <w:tcPr>
            <w:tcW w:w="842" w:type="dxa"/>
            <w:vMerge w:val="continue"/>
            <w:tcBorders>
              <w:tl2br w:val="nil"/>
              <w:tr2bl w:val="nil"/>
            </w:tcBorders>
            <w:vAlign w:val="center"/>
          </w:tcPr>
          <w:p w14:paraId="3BDEFA48">
            <w:pPr>
              <w:widowControl/>
              <w:spacing w:line="360" w:lineRule="auto"/>
              <w:jc w:val="center"/>
              <w:rPr>
                <w:rFonts w:ascii="仿宋" w:hAnsi="仿宋" w:eastAsia="仿宋" w:cs="仿宋"/>
                <w:kern w:val="0"/>
                <w:sz w:val="24"/>
                <w:szCs w:val="24"/>
                <w:highlight w:val="none"/>
              </w:rPr>
            </w:pPr>
          </w:p>
        </w:tc>
        <w:tc>
          <w:tcPr>
            <w:tcW w:w="1043" w:type="dxa"/>
            <w:vMerge w:val="continue"/>
            <w:tcBorders>
              <w:tl2br w:val="nil"/>
              <w:tr2bl w:val="nil"/>
            </w:tcBorders>
            <w:vAlign w:val="center"/>
          </w:tcPr>
          <w:p w14:paraId="60C4C70C">
            <w:pPr>
              <w:widowControl/>
              <w:spacing w:line="360" w:lineRule="auto"/>
              <w:jc w:val="center"/>
              <w:rPr>
                <w:rFonts w:ascii="仿宋" w:hAnsi="仿宋" w:eastAsia="仿宋" w:cs="仿宋"/>
                <w:kern w:val="0"/>
                <w:sz w:val="24"/>
                <w:szCs w:val="24"/>
                <w:highlight w:val="none"/>
              </w:rPr>
            </w:pPr>
          </w:p>
        </w:tc>
        <w:tc>
          <w:tcPr>
            <w:tcW w:w="1143" w:type="dxa"/>
            <w:vMerge w:val="continue"/>
            <w:tcBorders>
              <w:tl2br w:val="nil"/>
              <w:tr2bl w:val="nil"/>
            </w:tcBorders>
            <w:vAlign w:val="center"/>
          </w:tcPr>
          <w:p w14:paraId="22CEFCFE">
            <w:pPr>
              <w:widowControl/>
              <w:spacing w:line="360" w:lineRule="auto"/>
              <w:jc w:val="center"/>
              <w:rPr>
                <w:rFonts w:ascii="仿宋" w:hAnsi="仿宋" w:eastAsia="仿宋" w:cs="仿宋"/>
                <w:kern w:val="0"/>
                <w:sz w:val="24"/>
                <w:szCs w:val="24"/>
                <w:highlight w:val="none"/>
              </w:rPr>
            </w:pPr>
          </w:p>
        </w:tc>
        <w:tc>
          <w:tcPr>
            <w:tcW w:w="1171" w:type="dxa"/>
            <w:tcBorders>
              <w:tl2br w:val="nil"/>
              <w:tr2bl w:val="nil"/>
            </w:tcBorders>
            <w:vAlign w:val="center"/>
          </w:tcPr>
          <w:p w14:paraId="2A59704A">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中标</w:t>
            </w:r>
          </w:p>
          <w:p w14:paraId="236AA545">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（成交）公告</w:t>
            </w:r>
          </w:p>
          <w:p w14:paraId="1971229A">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复印件</w:t>
            </w:r>
          </w:p>
        </w:tc>
        <w:tc>
          <w:tcPr>
            <w:tcW w:w="1308" w:type="dxa"/>
            <w:tcBorders>
              <w:tl2br w:val="nil"/>
              <w:tr2bl w:val="nil"/>
            </w:tcBorders>
            <w:vAlign w:val="center"/>
          </w:tcPr>
          <w:p w14:paraId="07CDF228">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中标（成交）通知书复印件</w:t>
            </w:r>
          </w:p>
        </w:tc>
        <w:tc>
          <w:tcPr>
            <w:tcW w:w="1034" w:type="dxa"/>
            <w:tcBorders>
              <w:tl2br w:val="nil"/>
              <w:tr2bl w:val="nil"/>
            </w:tcBorders>
            <w:vAlign w:val="center"/>
          </w:tcPr>
          <w:p w14:paraId="152349A8">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采购合同文本复印件</w:t>
            </w:r>
          </w:p>
        </w:tc>
        <w:tc>
          <w:tcPr>
            <w:tcW w:w="1172" w:type="dxa"/>
            <w:tcBorders>
              <w:tl2br w:val="nil"/>
              <w:tr2bl w:val="nil"/>
            </w:tcBorders>
            <w:vAlign w:val="center"/>
          </w:tcPr>
          <w:p w14:paraId="1461E2EA">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验收合格的证明文件复印件</w:t>
            </w:r>
          </w:p>
        </w:tc>
      </w:tr>
      <w:tr w14:paraId="1BE21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exact"/>
          <w:jc w:val="center"/>
        </w:trPr>
        <w:tc>
          <w:tcPr>
            <w:tcW w:w="623" w:type="dxa"/>
            <w:vMerge w:val="continue"/>
            <w:tcBorders>
              <w:tl2br w:val="nil"/>
              <w:tr2bl w:val="nil"/>
            </w:tcBorders>
            <w:vAlign w:val="center"/>
          </w:tcPr>
          <w:p w14:paraId="7A4D8A73">
            <w:pPr>
              <w:widowControl/>
              <w:spacing w:line="360" w:lineRule="auto"/>
              <w:jc w:val="center"/>
              <w:rPr>
                <w:rFonts w:ascii="仿宋" w:hAnsi="仿宋" w:eastAsia="仿宋" w:cs="仿宋"/>
                <w:kern w:val="0"/>
                <w:sz w:val="24"/>
                <w:szCs w:val="24"/>
                <w:highlight w:val="none"/>
              </w:rPr>
            </w:pPr>
          </w:p>
        </w:tc>
        <w:tc>
          <w:tcPr>
            <w:tcW w:w="815" w:type="dxa"/>
            <w:vMerge w:val="continue"/>
            <w:tcBorders>
              <w:tl2br w:val="nil"/>
              <w:tr2bl w:val="nil"/>
            </w:tcBorders>
            <w:vAlign w:val="center"/>
          </w:tcPr>
          <w:p w14:paraId="27467F30">
            <w:pPr>
              <w:widowControl/>
              <w:spacing w:line="360" w:lineRule="auto"/>
              <w:jc w:val="center"/>
              <w:rPr>
                <w:rFonts w:ascii="仿宋" w:hAnsi="仿宋" w:eastAsia="仿宋" w:cs="仿宋"/>
                <w:kern w:val="0"/>
                <w:sz w:val="24"/>
                <w:szCs w:val="24"/>
                <w:highlight w:val="none"/>
              </w:rPr>
            </w:pPr>
          </w:p>
        </w:tc>
        <w:tc>
          <w:tcPr>
            <w:tcW w:w="842" w:type="dxa"/>
            <w:vMerge w:val="continue"/>
            <w:tcBorders>
              <w:tl2br w:val="nil"/>
              <w:tr2bl w:val="nil"/>
            </w:tcBorders>
            <w:vAlign w:val="center"/>
          </w:tcPr>
          <w:p w14:paraId="379F0D81">
            <w:pPr>
              <w:widowControl/>
              <w:spacing w:line="360" w:lineRule="auto"/>
              <w:jc w:val="center"/>
              <w:rPr>
                <w:rFonts w:ascii="仿宋" w:hAnsi="仿宋" w:eastAsia="仿宋" w:cs="仿宋"/>
                <w:kern w:val="0"/>
                <w:sz w:val="24"/>
                <w:szCs w:val="24"/>
                <w:highlight w:val="none"/>
              </w:rPr>
            </w:pPr>
          </w:p>
        </w:tc>
        <w:tc>
          <w:tcPr>
            <w:tcW w:w="1043" w:type="dxa"/>
            <w:vMerge w:val="continue"/>
            <w:tcBorders>
              <w:tl2br w:val="nil"/>
              <w:tr2bl w:val="nil"/>
            </w:tcBorders>
            <w:vAlign w:val="center"/>
          </w:tcPr>
          <w:p w14:paraId="5CC70A17">
            <w:pPr>
              <w:widowControl/>
              <w:spacing w:line="360" w:lineRule="auto"/>
              <w:jc w:val="center"/>
              <w:rPr>
                <w:rFonts w:ascii="仿宋" w:hAnsi="仿宋" w:eastAsia="仿宋" w:cs="仿宋"/>
                <w:kern w:val="0"/>
                <w:sz w:val="24"/>
                <w:szCs w:val="24"/>
                <w:highlight w:val="none"/>
              </w:rPr>
            </w:pPr>
          </w:p>
        </w:tc>
        <w:tc>
          <w:tcPr>
            <w:tcW w:w="1143" w:type="dxa"/>
            <w:vMerge w:val="continue"/>
            <w:tcBorders>
              <w:tl2br w:val="nil"/>
              <w:tr2bl w:val="nil"/>
            </w:tcBorders>
            <w:vAlign w:val="center"/>
          </w:tcPr>
          <w:p w14:paraId="153C05D8">
            <w:pPr>
              <w:widowControl/>
              <w:spacing w:line="360" w:lineRule="auto"/>
              <w:jc w:val="center"/>
              <w:rPr>
                <w:rFonts w:ascii="仿宋" w:hAnsi="仿宋" w:eastAsia="仿宋" w:cs="仿宋"/>
                <w:kern w:val="0"/>
                <w:sz w:val="24"/>
                <w:szCs w:val="24"/>
                <w:highlight w:val="none"/>
              </w:rPr>
            </w:pPr>
          </w:p>
        </w:tc>
        <w:tc>
          <w:tcPr>
            <w:tcW w:w="4685" w:type="dxa"/>
            <w:gridSpan w:val="4"/>
            <w:tcBorders>
              <w:tl2br w:val="nil"/>
              <w:tr2bl w:val="nil"/>
            </w:tcBorders>
            <w:vAlign w:val="center"/>
          </w:tcPr>
          <w:p w14:paraId="6D322CE9">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（以下填写“有”或“无”）</w:t>
            </w:r>
          </w:p>
        </w:tc>
      </w:tr>
      <w:tr w14:paraId="4D3CE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623" w:type="dxa"/>
            <w:tcBorders>
              <w:tl2br w:val="nil"/>
              <w:tr2bl w:val="nil"/>
            </w:tcBorders>
            <w:vAlign w:val="center"/>
          </w:tcPr>
          <w:p w14:paraId="0B17CD5B">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1</w:t>
            </w:r>
          </w:p>
        </w:tc>
        <w:tc>
          <w:tcPr>
            <w:tcW w:w="815" w:type="dxa"/>
            <w:tcBorders>
              <w:tl2br w:val="nil"/>
              <w:tr2bl w:val="nil"/>
            </w:tcBorders>
            <w:vAlign w:val="center"/>
          </w:tcPr>
          <w:p w14:paraId="2DDD1058">
            <w:pPr>
              <w:widowControl/>
              <w:spacing w:line="360" w:lineRule="auto"/>
              <w:jc w:val="left"/>
              <w:rPr>
                <w:rFonts w:ascii="仿宋" w:hAnsi="仿宋" w:eastAsia="仿宋" w:cs="仿宋"/>
                <w:kern w:val="0"/>
                <w:sz w:val="24"/>
                <w:szCs w:val="24"/>
                <w:highlight w:val="none"/>
              </w:rPr>
            </w:pPr>
          </w:p>
        </w:tc>
        <w:tc>
          <w:tcPr>
            <w:tcW w:w="842" w:type="dxa"/>
            <w:tcBorders>
              <w:tl2br w:val="nil"/>
              <w:tr2bl w:val="nil"/>
            </w:tcBorders>
            <w:vAlign w:val="center"/>
          </w:tcPr>
          <w:p w14:paraId="235448F9">
            <w:pPr>
              <w:widowControl/>
              <w:spacing w:line="360" w:lineRule="auto"/>
              <w:jc w:val="left"/>
              <w:rPr>
                <w:rFonts w:ascii="仿宋" w:hAnsi="仿宋" w:eastAsia="仿宋" w:cs="仿宋"/>
                <w:kern w:val="0"/>
                <w:sz w:val="24"/>
                <w:szCs w:val="24"/>
                <w:highlight w:val="none"/>
              </w:rPr>
            </w:pPr>
          </w:p>
        </w:tc>
        <w:tc>
          <w:tcPr>
            <w:tcW w:w="1043" w:type="dxa"/>
            <w:tcBorders>
              <w:tl2br w:val="nil"/>
              <w:tr2bl w:val="nil"/>
            </w:tcBorders>
            <w:vAlign w:val="center"/>
          </w:tcPr>
          <w:p w14:paraId="2790DD08">
            <w:pPr>
              <w:widowControl/>
              <w:spacing w:line="360" w:lineRule="auto"/>
              <w:jc w:val="left"/>
              <w:rPr>
                <w:rFonts w:ascii="仿宋" w:hAnsi="仿宋" w:eastAsia="仿宋" w:cs="仿宋"/>
                <w:kern w:val="0"/>
                <w:sz w:val="24"/>
                <w:szCs w:val="24"/>
                <w:highlight w:val="none"/>
              </w:rPr>
            </w:pPr>
          </w:p>
        </w:tc>
        <w:tc>
          <w:tcPr>
            <w:tcW w:w="1143" w:type="dxa"/>
            <w:tcBorders>
              <w:tl2br w:val="nil"/>
              <w:tr2bl w:val="nil"/>
            </w:tcBorders>
            <w:vAlign w:val="center"/>
          </w:tcPr>
          <w:p w14:paraId="66735133">
            <w:pPr>
              <w:widowControl/>
              <w:spacing w:line="360" w:lineRule="auto"/>
              <w:jc w:val="left"/>
              <w:rPr>
                <w:rFonts w:ascii="仿宋" w:hAnsi="仿宋" w:eastAsia="仿宋" w:cs="仿宋"/>
                <w:kern w:val="0"/>
                <w:sz w:val="24"/>
                <w:szCs w:val="24"/>
                <w:highlight w:val="none"/>
              </w:rPr>
            </w:pPr>
          </w:p>
        </w:tc>
        <w:tc>
          <w:tcPr>
            <w:tcW w:w="1171" w:type="dxa"/>
            <w:tcBorders>
              <w:tl2br w:val="nil"/>
              <w:tr2bl w:val="nil"/>
            </w:tcBorders>
            <w:vAlign w:val="center"/>
          </w:tcPr>
          <w:p w14:paraId="066BBA2E">
            <w:pPr>
              <w:widowControl/>
              <w:spacing w:line="360" w:lineRule="auto"/>
              <w:jc w:val="left"/>
              <w:rPr>
                <w:rFonts w:ascii="仿宋" w:hAnsi="仿宋" w:eastAsia="仿宋" w:cs="仿宋"/>
                <w:kern w:val="0"/>
                <w:sz w:val="24"/>
                <w:szCs w:val="24"/>
                <w:highlight w:val="none"/>
              </w:rPr>
            </w:pPr>
          </w:p>
        </w:tc>
        <w:tc>
          <w:tcPr>
            <w:tcW w:w="1308" w:type="dxa"/>
            <w:tcBorders>
              <w:tl2br w:val="nil"/>
              <w:tr2bl w:val="nil"/>
            </w:tcBorders>
            <w:vAlign w:val="center"/>
          </w:tcPr>
          <w:p w14:paraId="4C10EEA4">
            <w:pPr>
              <w:widowControl/>
              <w:spacing w:line="360" w:lineRule="auto"/>
              <w:jc w:val="left"/>
              <w:rPr>
                <w:rFonts w:ascii="仿宋" w:hAnsi="仿宋" w:eastAsia="仿宋" w:cs="仿宋"/>
                <w:kern w:val="0"/>
                <w:sz w:val="24"/>
                <w:szCs w:val="24"/>
                <w:highlight w:val="none"/>
              </w:rPr>
            </w:pPr>
          </w:p>
        </w:tc>
        <w:tc>
          <w:tcPr>
            <w:tcW w:w="1034" w:type="dxa"/>
            <w:tcBorders>
              <w:tl2br w:val="nil"/>
              <w:tr2bl w:val="nil"/>
            </w:tcBorders>
            <w:vAlign w:val="center"/>
          </w:tcPr>
          <w:p w14:paraId="53817B79">
            <w:pPr>
              <w:widowControl/>
              <w:spacing w:line="360" w:lineRule="auto"/>
              <w:jc w:val="left"/>
              <w:rPr>
                <w:rFonts w:ascii="仿宋" w:hAnsi="仿宋" w:eastAsia="仿宋" w:cs="仿宋"/>
                <w:kern w:val="0"/>
                <w:sz w:val="24"/>
                <w:szCs w:val="24"/>
                <w:highlight w:val="none"/>
              </w:rPr>
            </w:pPr>
          </w:p>
        </w:tc>
        <w:tc>
          <w:tcPr>
            <w:tcW w:w="1172" w:type="dxa"/>
            <w:tcBorders>
              <w:tl2br w:val="nil"/>
              <w:tr2bl w:val="nil"/>
            </w:tcBorders>
            <w:vAlign w:val="center"/>
          </w:tcPr>
          <w:p w14:paraId="2164D3B3">
            <w:pPr>
              <w:widowControl/>
              <w:spacing w:line="360" w:lineRule="auto"/>
              <w:jc w:val="left"/>
              <w:rPr>
                <w:rFonts w:ascii="仿宋" w:hAnsi="仿宋" w:eastAsia="仿宋" w:cs="仿宋"/>
                <w:kern w:val="0"/>
                <w:sz w:val="24"/>
                <w:szCs w:val="24"/>
                <w:highlight w:val="none"/>
              </w:rPr>
            </w:pPr>
          </w:p>
        </w:tc>
      </w:tr>
      <w:tr w14:paraId="69614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jc w:val="center"/>
        </w:trPr>
        <w:tc>
          <w:tcPr>
            <w:tcW w:w="623" w:type="dxa"/>
            <w:tcBorders>
              <w:tl2br w:val="nil"/>
              <w:tr2bl w:val="nil"/>
            </w:tcBorders>
            <w:vAlign w:val="center"/>
          </w:tcPr>
          <w:p w14:paraId="3E60FA1E">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2</w:t>
            </w:r>
          </w:p>
        </w:tc>
        <w:tc>
          <w:tcPr>
            <w:tcW w:w="815" w:type="dxa"/>
            <w:tcBorders>
              <w:tl2br w:val="nil"/>
              <w:tr2bl w:val="nil"/>
            </w:tcBorders>
            <w:vAlign w:val="center"/>
          </w:tcPr>
          <w:p w14:paraId="4ECFC968">
            <w:pPr>
              <w:widowControl/>
              <w:spacing w:line="360" w:lineRule="auto"/>
              <w:jc w:val="left"/>
              <w:rPr>
                <w:rFonts w:ascii="仿宋" w:hAnsi="仿宋" w:eastAsia="仿宋" w:cs="仿宋"/>
                <w:kern w:val="0"/>
                <w:sz w:val="24"/>
                <w:szCs w:val="24"/>
                <w:highlight w:val="none"/>
              </w:rPr>
            </w:pPr>
          </w:p>
        </w:tc>
        <w:tc>
          <w:tcPr>
            <w:tcW w:w="842" w:type="dxa"/>
            <w:tcBorders>
              <w:tl2br w:val="nil"/>
              <w:tr2bl w:val="nil"/>
            </w:tcBorders>
            <w:vAlign w:val="center"/>
          </w:tcPr>
          <w:p w14:paraId="30C4F79A">
            <w:pPr>
              <w:widowControl/>
              <w:spacing w:line="360" w:lineRule="auto"/>
              <w:jc w:val="left"/>
              <w:rPr>
                <w:rFonts w:ascii="仿宋" w:hAnsi="仿宋" w:eastAsia="仿宋" w:cs="仿宋"/>
                <w:kern w:val="0"/>
                <w:sz w:val="24"/>
                <w:szCs w:val="24"/>
                <w:highlight w:val="none"/>
              </w:rPr>
            </w:pPr>
          </w:p>
        </w:tc>
        <w:tc>
          <w:tcPr>
            <w:tcW w:w="1043" w:type="dxa"/>
            <w:tcBorders>
              <w:tl2br w:val="nil"/>
              <w:tr2bl w:val="nil"/>
            </w:tcBorders>
            <w:vAlign w:val="center"/>
          </w:tcPr>
          <w:p w14:paraId="615D53EA">
            <w:pPr>
              <w:widowControl/>
              <w:spacing w:line="360" w:lineRule="auto"/>
              <w:jc w:val="left"/>
              <w:rPr>
                <w:rFonts w:ascii="仿宋" w:hAnsi="仿宋" w:eastAsia="仿宋" w:cs="仿宋"/>
                <w:kern w:val="0"/>
                <w:sz w:val="24"/>
                <w:szCs w:val="24"/>
                <w:highlight w:val="none"/>
              </w:rPr>
            </w:pPr>
          </w:p>
        </w:tc>
        <w:tc>
          <w:tcPr>
            <w:tcW w:w="1143" w:type="dxa"/>
            <w:tcBorders>
              <w:tl2br w:val="nil"/>
              <w:tr2bl w:val="nil"/>
            </w:tcBorders>
            <w:vAlign w:val="center"/>
          </w:tcPr>
          <w:p w14:paraId="25BD2127">
            <w:pPr>
              <w:widowControl/>
              <w:spacing w:line="360" w:lineRule="auto"/>
              <w:jc w:val="left"/>
              <w:rPr>
                <w:rFonts w:ascii="仿宋" w:hAnsi="仿宋" w:eastAsia="仿宋" w:cs="仿宋"/>
                <w:kern w:val="0"/>
                <w:sz w:val="24"/>
                <w:szCs w:val="24"/>
                <w:highlight w:val="none"/>
              </w:rPr>
            </w:pPr>
          </w:p>
        </w:tc>
        <w:tc>
          <w:tcPr>
            <w:tcW w:w="1171" w:type="dxa"/>
            <w:tcBorders>
              <w:tl2br w:val="nil"/>
              <w:tr2bl w:val="nil"/>
            </w:tcBorders>
            <w:vAlign w:val="center"/>
          </w:tcPr>
          <w:p w14:paraId="31C5237A">
            <w:pPr>
              <w:widowControl/>
              <w:spacing w:line="360" w:lineRule="auto"/>
              <w:jc w:val="left"/>
              <w:rPr>
                <w:rFonts w:ascii="仿宋" w:hAnsi="仿宋" w:eastAsia="仿宋" w:cs="仿宋"/>
                <w:kern w:val="0"/>
                <w:sz w:val="24"/>
                <w:szCs w:val="24"/>
                <w:highlight w:val="none"/>
              </w:rPr>
            </w:pPr>
          </w:p>
        </w:tc>
        <w:tc>
          <w:tcPr>
            <w:tcW w:w="1308" w:type="dxa"/>
            <w:tcBorders>
              <w:tl2br w:val="nil"/>
              <w:tr2bl w:val="nil"/>
            </w:tcBorders>
            <w:vAlign w:val="center"/>
          </w:tcPr>
          <w:p w14:paraId="3DF9B0C8">
            <w:pPr>
              <w:widowControl/>
              <w:spacing w:line="360" w:lineRule="auto"/>
              <w:jc w:val="left"/>
              <w:rPr>
                <w:rFonts w:ascii="仿宋" w:hAnsi="仿宋" w:eastAsia="仿宋" w:cs="仿宋"/>
                <w:kern w:val="0"/>
                <w:sz w:val="24"/>
                <w:szCs w:val="24"/>
                <w:highlight w:val="none"/>
              </w:rPr>
            </w:pPr>
          </w:p>
        </w:tc>
        <w:tc>
          <w:tcPr>
            <w:tcW w:w="1034" w:type="dxa"/>
            <w:tcBorders>
              <w:tl2br w:val="nil"/>
              <w:tr2bl w:val="nil"/>
            </w:tcBorders>
            <w:vAlign w:val="center"/>
          </w:tcPr>
          <w:p w14:paraId="2195C2EF">
            <w:pPr>
              <w:widowControl/>
              <w:spacing w:line="360" w:lineRule="auto"/>
              <w:jc w:val="left"/>
              <w:rPr>
                <w:rFonts w:ascii="仿宋" w:hAnsi="仿宋" w:eastAsia="仿宋" w:cs="仿宋"/>
                <w:kern w:val="0"/>
                <w:sz w:val="24"/>
                <w:szCs w:val="24"/>
                <w:highlight w:val="none"/>
              </w:rPr>
            </w:pPr>
          </w:p>
        </w:tc>
        <w:tc>
          <w:tcPr>
            <w:tcW w:w="1172" w:type="dxa"/>
            <w:tcBorders>
              <w:tl2br w:val="nil"/>
              <w:tr2bl w:val="nil"/>
            </w:tcBorders>
            <w:vAlign w:val="center"/>
          </w:tcPr>
          <w:p w14:paraId="1CDB3CF7">
            <w:pPr>
              <w:widowControl/>
              <w:spacing w:line="360" w:lineRule="auto"/>
              <w:jc w:val="left"/>
              <w:rPr>
                <w:rFonts w:ascii="仿宋" w:hAnsi="仿宋" w:eastAsia="仿宋" w:cs="仿宋"/>
                <w:kern w:val="0"/>
                <w:sz w:val="24"/>
                <w:szCs w:val="24"/>
                <w:highlight w:val="none"/>
              </w:rPr>
            </w:pPr>
          </w:p>
        </w:tc>
      </w:tr>
      <w:tr w14:paraId="1B82C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jc w:val="center"/>
        </w:trPr>
        <w:tc>
          <w:tcPr>
            <w:tcW w:w="623" w:type="dxa"/>
            <w:tcBorders>
              <w:tl2br w:val="nil"/>
              <w:tr2bl w:val="nil"/>
            </w:tcBorders>
            <w:vAlign w:val="center"/>
          </w:tcPr>
          <w:p w14:paraId="251D9C88">
            <w:pPr>
              <w:widowControl/>
              <w:spacing w:line="360" w:lineRule="auto"/>
              <w:jc w:val="center"/>
              <w:rPr>
                <w:rFonts w:ascii="仿宋" w:hAnsi="仿宋" w:eastAsia="仿宋" w:cs="仿宋"/>
                <w:kern w:val="0"/>
                <w:sz w:val="24"/>
                <w:szCs w:val="24"/>
                <w:highlight w:val="none"/>
              </w:rPr>
            </w:pPr>
            <w:r>
              <w:rPr>
                <w:rFonts w:hint="eastAsia" w:ascii="仿宋" w:hAnsi="仿宋" w:eastAsia="仿宋" w:cs="仿宋"/>
                <w:kern w:val="0"/>
                <w:sz w:val="24"/>
                <w:szCs w:val="24"/>
                <w:highlight w:val="none"/>
              </w:rPr>
              <w:t>3</w:t>
            </w:r>
          </w:p>
        </w:tc>
        <w:tc>
          <w:tcPr>
            <w:tcW w:w="815" w:type="dxa"/>
            <w:tcBorders>
              <w:tl2br w:val="nil"/>
              <w:tr2bl w:val="nil"/>
            </w:tcBorders>
            <w:vAlign w:val="center"/>
          </w:tcPr>
          <w:p w14:paraId="4BB49B16">
            <w:pPr>
              <w:widowControl/>
              <w:spacing w:line="360" w:lineRule="auto"/>
              <w:jc w:val="left"/>
              <w:rPr>
                <w:rFonts w:ascii="仿宋" w:hAnsi="仿宋" w:eastAsia="仿宋" w:cs="仿宋"/>
                <w:kern w:val="0"/>
                <w:sz w:val="24"/>
                <w:szCs w:val="24"/>
                <w:highlight w:val="none"/>
              </w:rPr>
            </w:pPr>
          </w:p>
        </w:tc>
        <w:tc>
          <w:tcPr>
            <w:tcW w:w="842" w:type="dxa"/>
            <w:tcBorders>
              <w:tl2br w:val="nil"/>
              <w:tr2bl w:val="nil"/>
            </w:tcBorders>
            <w:vAlign w:val="center"/>
          </w:tcPr>
          <w:p w14:paraId="7FA775CA">
            <w:pPr>
              <w:widowControl/>
              <w:spacing w:line="360" w:lineRule="auto"/>
              <w:jc w:val="left"/>
              <w:rPr>
                <w:rFonts w:ascii="仿宋" w:hAnsi="仿宋" w:eastAsia="仿宋" w:cs="仿宋"/>
                <w:kern w:val="0"/>
                <w:sz w:val="24"/>
                <w:szCs w:val="24"/>
                <w:highlight w:val="none"/>
              </w:rPr>
            </w:pPr>
          </w:p>
        </w:tc>
        <w:tc>
          <w:tcPr>
            <w:tcW w:w="1043" w:type="dxa"/>
            <w:tcBorders>
              <w:tl2br w:val="nil"/>
              <w:tr2bl w:val="nil"/>
            </w:tcBorders>
            <w:vAlign w:val="center"/>
          </w:tcPr>
          <w:p w14:paraId="10250E10">
            <w:pPr>
              <w:widowControl/>
              <w:spacing w:line="360" w:lineRule="auto"/>
              <w:jc w:val="left"/>
              <w:rPr>
                <w:rFonts w:ascii="仿宋" w:hAnsi="仿宋" w:eastAsia="仿宋" w:cs="仿宋"/>
                <w:kern w:val="0"/>
                <w:sz w:val="24"/>
                <w:szCs w:val="24"/>
                <w:highlight w:val="none"/>
              </w:rPr>
            </w:pPr>
          </w:p>
        </w:tc>
        <w:tc>
          <w:tcPr>
            <w:tcW w:w="1143" w:type="dxa"/>
            <w:tcBorders>
              <w:tl2br w:val="nil"/>
              <w:tr2bl w:val="nil"/>
            </w:tcBorders>
            <w:vAlign w:val="center"/>
          </w:tcPr>
          <w:p w14:paraId="38F6C521">
            <w:pPr>
              <w:widowControl/>
              <w:spacing w:line="360" w:lineRule="auto"/>
              <w:jc w:val="left"/>
              <w:rPr>
                <w:rFonts w:ascii="仿宋" w:hAnsi="仿宋" w:eastAsia="仿宋" w:cs="仿宋"/>
                <w:kern w:val="0"/>
                <w:sz w:val="24"/>
                <w:szCs w:val="24"/>
                <w:highlight w:val="none"/>
              </w:rPr>
            </w:pPr>
          </w:p>
        </w:tc>
        <w:tc>
          <w:tcPr>
            <w:tcW w:w="1171" w:type="dxa"/>
            <w:tcBorders>
              <w:tl2br w:val="nil"/>
              <w:tr2bl w:val="nil"/>
            </w:tcBorders>
            <w:vAlign w:val="center"/>
          </w:tcPr>
          <w:p w14:paraId="3DE36546">
            <w:pPr>
              <w:widowControl/>
              <w:spacing w:line="360" w:lineRule="auto"/>
              <w:jc w:val="left"/>
              <w:rPr>
                <w:rFonts w:ascii="仿宋" w:hAnsi="仿宋" w:eastAsia="仿宋" w:cs="仿宋"/>
                <w:kern w:val="0"/>
                <w:sz w:val="24"/>
                <w:szCs w:val="24"/>
                <w:highlight w:val="none"/>
              </w:rPr>
            </w:pPr>
          </w:p>
        </w:tc>
        <w:tc>
          <w:tcPr>
            <w:tcW w:w="1308" w:type="dxa"/>
            <w:tcBorders>
              <w:tl2br w:val="nil"/>
              <w:tr2bl w:val="nil"/>
            </w:tcBorders>
            <w:vAlign w:val="center"/>
          </w:tcPr>
          <w:p w14:paraId="06CDE276">
            <w:pPr>
              <w:widowControl/>
              <w:spacing w:line="360" w:lineRule="auto"/>
              <w:jc w:val="left"/>
              <w:rPr>
                <w:rFonts w:ascii="仿宋" w:hAnsi="仿宋" w:eastAsia="仿宋" w:cs="仿宋"/>
                <w:kern w:val="0"/>
                <w:sz w:val="24"/>
                <w:szCs w:val="24"/>
                <w:highlight w:val="none"/>
              </w:rPr>
            </w:pPr>
          </w:p>
        </w:tc>
        <w:tc>
          <w:tcPr>
            <w:tcW w:w="1034" w:type="dxa"/>
            <w:tcBorders>
              <w:tl2br w:val="nil"/>
              <w:tr2bl w:val="nil"/>
            </w:tcBorders>
            <w:vAlign w:val="center"/>
          </w:tcPr>
          <w:p w14:paraId="45E55710">
            <w:pPr>
              <w:widowControl/>
              <w:spacing w:line="360" w:lineRule="auto"/>
              <w:jc w:val="left"/>
              <w:rPr>
                <w:rFonts w:ascii="仿宋" w:hAnsi="仿宋" w:eastAsia="仿宋" w:cs="仿宋"/>
                <w:kern w:val="0"/>
                <w:sz w:val="24"/>
                <w:szCs w:val="24"/>
                <w:highlight w:val="none"/>
              </w:rPr>
            </w:pPr>
          </w:p>
        </w:tc>
        <w:tc>
          <w:tcPr>
            <w:tcW w:w="1172" w:type="dxa"/>
            <w:tcBorders>
              <w:tl2br w:val="nil"/>
              <w:tr2bl w:val="nil"/>
            </w:tcBorders>
            <w:vAlign w:val="center"/>
          </w:tcPr>
          <w:p w14:paraId="66C2FF72">
            <w:pPr>
              <w:widowControl/>
              <w:spacing w:line="360" w:lineRule="auto"/>
              <w:jc w:val="left"/>
              <w:rPr>
                <w:rFonts w:ascii="仿宋" w:hAnsi="仿宋" w:eastAsia="仿宋" w:cs="仿宋"/>
                <w:kern w:val="0"/>
                <w:sz w:val="24"/>
                <w:szCs w:val="24"/>
                <w:highlight w:val="none"/>
              </w:rPr>
            </w:pPr>
          </w:p>
        </w:tc>
      </w:tr>
      <w:tr w14:paraId="6C7FE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jc w:val="center"/>
        </w:trPr>
        <w:tc>
          <w:tcPr>
            <w:tcW w:w="623" w:type="dxa"/>
            <w:tcBorders>
              <w:tl2br w:val="nil"/>
              <w:tr2bl w:val="nil"/>
            </w:tcBorders>
            <w:vAlign w:val="center"/>
          </w:tcPr>
          <w:p w14:paraId="573B8F4F">
            <w:pPr>
              <w:widowControl/>
              <w:spacing w:line="360" w:lineRule="auto"/>
              <w:jc w:val="center"/>
              <w:rPr>
                <w:rFonts w:ascii="仿宋" w:hAnsi="仿宋" w:eastAsia="仿宋" w:cs="仿宋"/>
                <w:kern w:val="0"/>
                <w:sz w:val="24"/>
                <w:szCs w:val="24"/>
                <w:highlight w:val="none"/>
              </w:rPr>
            </w:pPr>
          </w:p>
        </w:tc>
        <w:tc>
          <w:tcPr>
            <w:tcW w:w="815" w:type="dxa"/>
            <w:tcBorders>
              <w:tl2br w:val="nil"/>
              <w:tr2bl w:val="nil"/>
            </w:tcBorders>
            <w:vAlign w:val="center"/>
          </w:tcPr>
          <w:p w14:paraId="646DE3E5">
            <w:pPr>
              <w:widowControl/>
              <w:spacing w:line="360" w:lineRule="auto"/>
              <w:jc w:val="left"/>
              <w:rPr>
                <w:rFonts w:ascii="仿宋" w:hAnsi="仿宋" w:eastAsia="仿宋" w:cs="仿宋"/>
                <w:kern w:val="0"/>
                <w:sz w:val="24"/>
                <w:szCs w:val="24"/>
                <w:highlight w:val="none"/>
              </w:rPr>
            </w:pPr>
          </w:p>
        </w:tc>
        <w:tc>
          <w:tcPr>
            <w:tcW w:w="842" w:type="dxa"/>
            <w:tcBorders>
              <w:tl2br w:val="nil"/>
              <w:tr2bl w:val="nil"/>
            </w:tcBorders>
            <w:vAlign w:val="center"/>
          </w:tcPr>
          <w:p w14:paraId="33BE7BF6">
            <w:pPr>
              <w:widowControl/>
              <w:spacing w:line="360" w:lineRule="auto"/>
              <w:jc w:val="left"/>
              <w:rPr>
                <w:rFonts w:ascii="仿宋" w:hAnsi="仿宋" w:eastAsia="仿宋" w:cs="仿宋"/>
                <w:kern w:val="0"/>
                <w:sz w:val="24"/>
                <w:szCs w:val="24"/>
                <w:highlight w:val="none"/>
              </w:rPr>
            </w:pPr>
          </w:p>
        </w:tc>
        <w:tc>
          <w:tcPr>
            <w:tcW w:w="1043" w:type="dxa"/>
            <w:tcBorders>
              <w:tl2br w:val="nil"/>
              <w:tr2bl w:val="nil"/>
            </w:tcBorders>
            <w:vAlign w:val="center"/>
          </w:tcPr>
          <w:p w14:paraId="31ABFE67">
            <w:pPr>
              <w:widowControl/>
              <w:spacing w:line="360" w:lineRule="auto"/>
              <w:jc w:val="left"/>
              <w:rPr>
                <w:rFonts w:ascii="仿宋" w:hAnsi="仿宋" w:eastAsia="仿宋" w:cs="仿宋"/>
                <w:kern w:val="0"/>
                <w:sz w:val="24"/>
                <w:szCs w:val="24"/>
                <w:highlight w:val="none"/>
              </w:rPr>
            </w:pPr>
          </w:p>
        </w:tc>
        <w:tc>
          <w:tcPr>
            <w:tcW w:w="1143" w:type="dxa"/>
            <w:tcBorders>
              <w:tl2br w:val="nil"/>
              <w:tr2bl w:val="nil"/>
            </w:tcBorders>
            <w:vAlign w:val="center"/>
          </w:tcPr>
          <w:p w14:paraId="6095CBBE">
            <w:pPr>
              <w:widowControl/>
              <w:spacing w:line="360" w:lineRule="auto"/>
              <w:jc w:val="left"/>
              <w:rPr>
                <w:rFonts w:ascii="仿宋" w:hAnsi="仿宋" w:eastAsia="仿宋" w:cs="仿宋"/>
                <w:kern w:val="0"/>
                <w:sz w:val="24"/>
                <w:szCs w:val="24"/>
                <w:highlight w:val="none"/>
              </w:rPr>
            </w:pPr>
          </w:p>
        </w:tc>
        <w:tc>
          <w:tcPr>
            <w:tcW w:w="1171" w:type="dxa"/>
            <w:tcBorders>
              <w:tl2br w:val="nil"/>
              <w:tr2bl w:val="nil"/>
            </w:tcBorders>
            <w:vAlign w:val="center"/>
          </w:tcPr>
          <w:p w14:paraId="2FE155DC">
            <w:pPr>
              <w:widowControl/>
              <w:spacing w:line="360" w:lineRule="auto"/>
              <w:jc w:val="left"/>
              <w:rPr>
                <w:rFonts w:ascii="仿宋" w:hAnsi="仿宋" w:eastAsia="仿宋" w:cs="仿宋"/>
                <w:kern w:val="0"/>
                <w:sz w:val="24"/>
                <w:szCs w:val="24"/>
                <w:highlight w:val="none"/>
              </w:rPr>
            </w:pPr>
          </w:p>
        </w:tc>
        <w:tc>
          <w:tcPr>
            <w:tcW w:w="1308" w:type="dxa"/>
            <w:tcBorders>
              <w:tl2br w:val="nil"/>
              <w:tr2bl w:val="nil"/>
            </w:tcBorders>
            <w:vAlign w:val="center"/>
          </w:tcPr>
          <w:p w14:paraId="5941FE38">
            <w:pPr>
              <w:widowControl/>
              <w:spacing w:line="360" w:lineRule="auto"/>
              <w:jc w:val="left"/>
              <w:rPr>
                <w:rFonts w:ascii="仿宋" w:hAnsi="仿宋" w:eastAsia="仿宋" w:cs="仿宋"/>
                <w:kern w:val="0"/>
                <w:sz w:val="24"/>
                <w:szCs w:val="24"/>
                <w:highlight w:val="none"/>
              </w:rPr>
            </w:pPr>
          </w:p>
        </w:tc>
        <w:tc>
          <w:tcPr>
            <w:tcW w:w="1034" w:type="dxa"/>
            <w:tcBorders>
              <w:tl2br w:val="nil"/>
              <w:tr2bl w:val="nil"/>
            </w:tcBorders>
            <w:vAlign w:val="center"/>
          </w:tcPr>
          <w:p w14:paraId="620B6541">
            <w:pPr>
              <w:widowControl/>
              <w:spacing w:line="360" w:lineRule="auto"/>
              <w:jc w:val="left"/>
              <w:rPr>
                <w:rFonts w:ascii="仿宋" w:hAnsi="仿宋" w:eastAsia="仿宋" w:cs="仿宋"/>
                <w:kern w:val="0"/>
                <w:sz w:val="24"/>
                <w:szCs w:val="24"/>
                <w:highlight w:val="none"/>
              </w:rPr>
            </w:pPr>
          </w:p>
        </w:tc>
        <w:tc>
          <w:tcPr>
            <w:tcW w:w="1172" w:type="dxa"/>
            <w:tcBorders>
              <w:tl2br w:val="nil"/>
              <w:tr2bl w:val="nil"/>
            </w:tcBorders>
            <w:vAlign w:val="center"/>
          </w:tcPr>
          <w:p w14:paraId="438F8979">
            <w:pPr>
              <w:widowControl/>
              <w:spacing w:line="360" w:lineRule="auto"/>
              <w:jc w:val="left"/>
              <w:rPr>
                <w:rFonts w:ascii="仿宋" w:hAnsi="仿宋" w:eastAsia="仿宋" w:cs="仿宋"/>
                <w:kern w:val="0"/>
                <w:sz w:val="24"/>
                <w:szCs w:val="24"/>
                <w:highlight w:val="none"/>
              </w:rPr>
            </w:pPr>
          </w:p>
        </w:tc>
      </w:tr>
      <w:tr w14:paraId="4CB00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jc w:val="center"/>
        </w:trPr>
        <w:tc>
          <w:tcPr>
            <w:tcW w:w="623" w:type="dxa"/>
            <w:tcBorders>
              <w:tl2br w:val="nil"/>
              <w:tr2bl w:val="nil"/>
            </w:tcBorders>
            <w:vAlign w:val="center"/>
          </w:tcPr>
          <w:p w14:paraId="17060D26">
            <w:pPr>
              <w:widowControl/>
              <w:spacing w:line="360" w:lineRule="auto"/>
              <w:jc w:val="center"/>
              <w:rPr>
                <w:rFonts w:ascii="仿宋" w:hAnsi="仿宋" w:eastAsia="仿宋" w:cs="仿宋"/>
                <w:kern w:val="0"/>
                <w:sz w:val="24"/>
                <w:szCs w:val="24"/>
                <w:highlight w:val="none"/>
              </w:rPr>
            </w:pPr>
          </w:p>
        </w:tc>
        <w:tc>
          <w:tcPr>
            <w:tcW w:w="815" w:type="dxa"/>
            <w:tcBorders>
              <w:tl2br w:val="nil"/>
              <w:tr2bl w:val="nil"/>
            </w:tcBorders>
            <w:vAlign w:val="center"/>
          </w:tcPr>
          <w:p w14:paraId="45A7519A">
            <w:pPr>
              <w:widowControl/>
              <w:spacing w:line="360" w:lineRule="auto"/>
              <w:jc w:val="left"/>
              <w:rPr>
                <w:rFonts w:ascii="仿宋" w:hAnsi="仿宋" w:eastAsia="仿宋" w:cs="仿宋"/>
                <w:kern w:val="0"/>
                <w:sz w:val="24"/>
                <w:szCs w:val="24"/>
                <w:highlight w:val="none"/>
              </w:rPr>
            </w:pPr>
          </w:p>
        </w:tc>
        <w:tc>
          <w:tcPr>
            <w:tcW w:w="842" w:type="dxa"/>
            <w:tcBorders>
              <w:tl2br w:val="nil"/>
              <w:tr2bl w:val="nil"/>
            </w:tcBorders>
            <w:vAlign w:val="center"/>
          </w:tcPr>
          <w:p w14:paraId="08F3D9B7">
            <w:pPr>
              <w:widowControl/>
              <w:spacing w:line="360" w:lineRule="auto"/>
              <w:jc w:val="left"/>
              <w:rPr>
                <w:rFonts w:ascii="仿宋" w:hAnsi="仿宋" w:eastAsia="仿宋" w:cs="仿宋"/>
                <w:kern w:val="0"/>
                <w:sz w:val="24"/>
                <w:szCs w:val="24"/>
                <w:highlight w:val="none"/>
              </w:rPr>
            </w:pPr>
          </w:p>
        </w:tc>
        <w:tc>
          <w:tcPr>
            <w:tcW w:w="1043" w:type="dxa"/>
            <w:tcBorders>
              <w:tl2br w:val="nil"/>
              <w:tr2bl w:val="nil"/>
            </w:tcBorders>
            <w:vAlign w:val="center"/>
          </w:tcPr>
          <w:p w14:paraId="3C4E5DF6">
            <w:pPr>
              <w:widowControl/>
              <w:spacing w:line="360" w:lineRule="auto"/>
              <w:jc w:val="left"/>
              <w:rPr>
                <w:rFonts w:ascii="仿宋" w:hAnsi="仿宋" w:eastAsia="仿宋" w:cs="仿宋"/>
                <w:kern w:val="0"/>
                <w:sz w:val="24"/>
                <w:szCs w:val="24"/>
                <w:highlight w:val="none"/>
              </w:rPr>
            </w:pPr>
          </w:p>
        </w:tc>
        <w:tc>
          <w:tcPr>
            <w:tcW w:w="1143" w:type="dxa"/>
            <w:tcBorders>
              <w:tl2br w:val="nil"/>
              <w:tr2bl w:val="nil"/>
            </w:tcBorders>
            <w:vAlign w:val="center"/>
          </w:tcPr>
          <w:p w14:paraId="2A3A6C5E">
            <w:pPr>
              <w:widowControl/>
              <w:spacing w:line="360" w:lineRule="auto"/>
              <w:jc w:val="left"/>
              <w:rPr>
                <w:rFonts w:ascii="仿宋" w:hAnsi="仿宋" w:eastAsia="仿宋" w:cs="仿宋"/>
                <w:kern w:val="0"/>
                <w:sz w:val="24"/>
                <w:szCs w:val="24"/>
                <w:highlight w:val="none"/>
              </w:rPr>
            </w:pPr>
          </w:p>
        </w:tc>
        <w:tc>
          <w:tcPr>
            <w:tcW w:w="1171" w:type="dxa"/>
            <w:tcBorders>
              <w:tl2br w:val="nil"/>
              <w:tr2bl w:val="nil"/>
            </w:tcBorders>
            <w:vAlign w:val="center"/>
          </w:tcPr>
          <w:p w14:paraId="37C44F4C">
            <w:pPr>
              <w:widowControl/>
              <w:spacing w:line="360" w:lineRule="auto"/>
              <w:jc w:val="left"/>
              <w:rPr>
                <w:rFonts w:ascii="仿宋" w:hAnsi="仿宋" w:eastAsia="仿宋" w:cs="仿宋"/>
                <w:kern w:val="0"/>
                <w:sz w:val="24"/>
                <w:szCs w:val="24"/>
                <w:highlight w:val="none"/>
              </w:rPr>
            </w:pPr>
          </w:p>
        </w:tc>
        <w:tc>
          <w:tcPr>
            <w:tcW w:w="1308" w:type="dxa"/>
            <w:tcBorders>
              <w:tl2br w:val="nil"/>
              <w:tr2bl w:val="nil"/>
            </w:tcBorders>
            <w:vAlign w:val="center"/>
          </w:tcPr>
          <w:p w14:paraId="66B1D75E">
            <w:pPr>
              <w:widowControl/>
              <w:spacing w:line="360" w:lineRule="auto"/>
              <w:jc w:val="left"/>
              <w:rPr>
                <w:rFonts w:ascii="仿宋" w:hAnsi="仿宋" w:eastAsia="仿宋" w:cs="仿宋"/>
                <w:kern w:val="0"/>
                <w:sz w:val="24"/>
                <w:szCs w:val="24"/>
                <w:highlight w:val="none"/>
              </w:rPr>
            </w:pPr>
          </w:p>
        </w:tc>
        <w:tc>
          <w:tcPr>
            <w:tcW w:w="1034" w:type="dxa"/>
            <w:tcBorders>
              <w:tl2br w:val="nil"/>
              <w:tr2bl w:val="nil"/>
            </w:tcBorders>
            <w:vAlign w:val="center"/>
          </w:tcPr>
          <w:p w14:paraId="6C9939DF">
            <w:pPr>
              <w:widowControl/>
              <w:spacing w:line="360" w:lineRule="auto"/>
              <w:jc w:val="left"/>
              <w:rPr>
                <w:rFonts w:ascii="仿宋" w:hAnsi="仿宋" w:eastAsia="仿宋" w:cs="仿宋"/>
                <w:kern w:val="0"/>
                <w:sz w:val="24"/>
                <w:szCs w:val="24"/>
                <w:highlight w:val="none"/>
              </w:rPr>
            </w:pPr>
          </w:p>
        </w:tc>
        <w:tc>
          <w:tcPr>
            <w:tcW w:w="1172" w:type="dxa"/>
            <w:tcBorders>
              <w:tl2br w:val="nil"/>
              <w:tr2bl w:val="nil"/>
            </w:tcBorders>
            <w:vAlign w:val="center"/>
          </w:tcPr>
          <w:p w14:paraId="267CD59A">
            <w:pPr>
              <w:widowControl/>
              <w:spacing w:line="360" w:lineRule="auto"/>
              <w:jc w:val="left"/>
              <w:rPr>
                <w:rFonts w:ascii="仿宋" w:hAnsi="仿宋" w:eastAsia="仿宋" w:cs="仿宋"/>
                <w:kern w:val="0"/>
                <w:sz w:val="24"/>
                <w:szCs w:val="24"/>
                <w:highlight w:val="none"/>
              </w:rPr>
            </w:pPr>
          </w:p>
        </w:tc>
      </w:tr>
    </w:tbl>
    <w:p w14:paraId="7F8D03A2">
      <w:pPr>
        <w:widowControl/>
        <w:spacing w:line="360" w:lineRule="auto"/>
        <w:ind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注：</w:t>
      </w:r>
    </w:p>
    <w:p w14:paraId="7E00B1F1">
      <w:pPr>
        <w:widowControl/>
        <w:spacing w:line="360" w:lineRule="auto"/>
        <w:ind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1、</w:t>
      </w:r>
      <w:r>
        <w:rPr>
          <w:rFonts w:hint="eastAsia" w:ascii="仿宋" w:hAnsi="仿宋" w:eastAsia="仿宋" w:cs="仿宋"/>
          <w:kern w:val="0"/>
          <w:sz w:val="24"/>
          <w:szCs w:val="24"/>
          <w:highlight w:val="none"/>
          <w:lang w:eastAsia="zh-CN"/>
        </w:rPr>
        <w:t>供应商</w:t>
      </w:r>
      <w:r>
        <w:rPr>
          <w:rFonts w:hint="eastAsia" w:ascii="仿宋" w:hAnsi="仿宋" w:eastAsia="仿宋" w:cs="仿宋"/>
          <w:kern w:val="0"/>
          <w:sz w:val="24"/>
          <w:szCs w:val="24"/>
          <w:highlight w:val="none"/>
        </w:rPr>
        <w:t>根据评标标准要求提供相应业绩证明资料。</w:t>
      </w:r>
    </w:p>
    <w:p w14:paraId="3DB61156">
      <w:pPr>
        <w:widowControl/>
        <w:spacing w:line="360" w:lineRule="auto"/>
        <w:ind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2、“业绩佐证材料”栏填写“有”的，则须附上对应的证明材料。</w:t>
      </w:r>
    </w:p>
    <w:p w14:paraId="1D84F01E">
      <w:pPr>
        <w:widowControl/>
        <w:spacing w:line="360" w:lineRule="auto"/>
        <w:ind w:firstLine="480" w:firstLineChars="200"/>
        <w:jc w:val="left"/>
        <w:rPr>
          <w:rFonts w:ascii="仿宋" w:hAnsi="仿宋" w:eastAsia="仿宋" w:cs="仿宋"/>
          <w:kern w:val="0"/>
          <w:sz w:val="24"/>
          <w:szCs w:val="24"/>
          <w:highlight w:val="none"/>
        </w:rPr>
      </w:pPr>
    </w:p>
    <w:p w14:paraId="655F639B">
      <w:pPr>
        <w:widowControl/>
        <w:spacing w:line="360" w:lineRule="auto"/>
        <w:ind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供应商</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u w:val="single"/>
        </w:rPr>
        <w:t>（全称并加盖单位公章）</w:t>
      </w:r>
    </w:p>
    <w:p w14:paraId="4522BFBE">
      <w:pPr>
        <w:widowControl/>
        <w:spacing w:line="360" w:lineRule="auto"/>
        <w:ind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日期：</w:t>
      </w:r>
      <w:r>
        <w:rPr>
          <w:rFonts w:hint="eastAsia" w:ascii="仿宋" w:hAnsi="仿宋" w:eastAsia="仿宋" w:cs="仿宋"/>
          <w:kern w:val="0"/>
          <w:sz w:val="24"/>
          <w:szCs w:val="24"/>
          <w:highlight w:val="none"/>
          <w:u w:val="single"/>
        </w:rPr>
        <w:t>    </w:t>
      </w:r>
      <w:r>
        <w:rPr>
          <w:rFonts w:hint="eastAsia" w:ascii="仿宋" w:hAnsi="仿宋" w:eastAsia="仿宋" w:cs="仿宋"/>
          <w:kern w:val="0"/>
          <w:sz w:val="24"/>
          <w:szCs w:val="24"/>
          <w:highlight w:val="none"/>
        </w:rPr>
        <w:t>年</w:t>
      </w:r>
      <w:r>
        <w:rPr>
          <w:rFonts w:hint="eastAsia" w:ascii="仿宋" w:hAnsi="仿宋" w:eastAsia="仿宋" w:cs="仿宋"/>
          <w:kern w:val="0"/>
          <w:sz w:val="24"/>
          <w:szCs w:val="24"/>
          <w:highlight w:val="none"/>
          <w:u w:val="single"/>
        </w:rPr>
        <w:t>   </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u w:val="single"/>
        </w:rPr>
        <w:t>   </w:t>
      </w:r>
      <w:r>
        <w:rPr>
          <w:rFonts w:hint="eastAsia" w:ascii="仿宋" w:hAnsi="仿宋" w:eastAsia="仿宋" w:cs="仿宋"/>
          <w:kern w:val="0"/>
          <w:sz w:val="24"/>
          <w:szCs w:val="24"/>
          <w:highlight w:val="none"/>
        </w:rPr>
        <w:t>日</w:t>
      </w:r>
    </w:p>
    <w:p w14:paraId="2D47FE42">
      <w:pPr>
        <w:widowControl/>
        <w:spacing w:line="360" w:lineRule="auto"/>
        <w:jc w:val="center"/>
        <w:rPr>
          <w:rFonts w:ascii="黑体" w:hAnsi="黑体" w:eastAsia="黑体" w:cs="宋体"/>
          <w:b/>
          <w:bCs/>
          <w:kern w:val="0"/>
          <w:sz w:val="28"/>
          <w:szCs w:val="18"/>
          <w:highlight w:val="none"/>
        </w:rPr>
        <w:sectPr>
          <w:pgSz w:w="11906" w:h="16838"/>
          <w:pgMar w:top="1440" w:right="1077" w:bottom="1440" w:left="1077" w:header="851" w:footer="992" w:gutter="0"/>
          <w:cols w:space="425" w:num="1"/>
          <w:docGrid w:type="lines" w:linePitch="312" w:charSpace="0"/>
        </w:sectPr>
      </w:pPr>
    </w:p>
    <w:p w14:paraId="63240AA5">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九、技术和服务要求响应表 </w:t>
      </w:r>
    </w:p>
    <w:p w14:paraId="2354C113">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（全称加盖单位公章）</w:t>
      </w:r>
      <w:r>
        <w:rPr>
          <w:rFonts w:hint="eastAsia" w:ascii="仿宋" w:hAnsi="仿宋" w:eastAsia="仿宋" w:cs="仿宋"/>
          <w:kern w:val="0"/>
          <w:sz w:val="24"/>
          <w:highlight w:val="none"/>
        </w:rPr>
        <w:t>  项目编号∶</w:t>
      </w:r>
      <w:r>
        <w:rPr>
          <w:rFonts w:hint="eastAsia" w:ascii="仿宋" w:hAnsi="仿宋" w:eastAsia="仿宋" w:cs="仿宋"/>
          <w:kern w:val="0"/>
          <w:sz w:val="24"/>
          <w:highlight w:val="none"/>
          <w:u w:val="single"/>
        </w:rPr>
        <w:t>       </w:t>
      </w:r>
    </w:p>
    <w:tbl>
      <w:tblPr>
        <w:tblStyle w:val="19"/>
        <w:tblW w:w="9758"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20"/>
        <w:gridCol w:w="1130"/>
        <w:gridCol w:w="2891"/>
        <w:gridCol w:w="2651"/>
        <w:gridCol w:w="2066"/>
      </w:tblGrid>
      <w:tr w14:paraId="7D5B02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56" w:hRule="atLeast"/>
          <w:jc w:val="center"/>
        </w:trPr>
        <w:tc>
          <w:tcPr>
            <w:tcW w:w="1020" w:type="dxa"/>
            <w:vAlign w:val="center"/>
          </w:tcPr>
          <w:p w14:paraId="5A1EBF7B">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采购包</w:t>
            </w:r>
          </w:p>
        </w:tc>
        <w:tc>
          <w:tcPr>
            <w:tcW w:w="1130" w:type="dxa"/>
            <w:vAlign w:val="center"/>
          </w:tcPr>
          <w:p w14:paraId="6CEC66AB">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章节条目号</w:t>
            </w:r>
          </w:p>
        </w:tc>
        <w:tc>
          <w:tcPr>
            <w:tcW w:w="2891" w:type="dxa"/>
            <w:vAlign w:val="center"/>
          </w:tcPr>
          <w:p w14:paraId="00E96DD4">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竞争性磋商文件规定的技术和服务要求</w:t>
            </w:r>
          </w:p>
        </w:tc>
        <w:tc>
          <w:tcPr>
            <w:tcW w:w="2651" w:type="dxa"/>
            <w:vAlign w:val="center"/>
          </w:tcPr>
          <w:p w14:paraId="0B867569">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响应文件响应承诺</w:t>
            </w:r>
          </w:p>
        </w:tc>
        <w:tc>
          <w:tcPr>
            <w:tcW w:w="2066" w:type="dxa"/>
            <w:vAlign w:val="center"/>
          </w:tcPr>
          <w:p w14:paraId="3313E54D">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是否偏离及说明</w:t>
            </w:r>
          </w:p>
        </w:tc>
      </w:tr>
      <w:tr w14:paraId="3FEC73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411192FF">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10303FE4">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91" w:type="dxa"/>
            <w:vAlign w:val="center"/>
          </w:tcPr>
          <w:p w14:paraId="349349BA">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651" w:type="dxa"/>
            <w:vAlign w:val="center"/>
          </w:tcPr>
          <w:p w14:paraId="27476548">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066" w:type="dxa"/>
            <w:vAlign w:val="center"/>
          </w:tcPr>
          <w:p w14:paraId="7D37A4E9">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r w14:paraId="1F07BF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7BB3A619">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48E059F0">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91" w:type="dxa"/>
            <w:vAlign w:val="center"/>
          </w:tcPr>
          <w:p w14:paraId="02E1CC9C">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651" w:type="dxa"/>
            <w:vAlign w:val="center"/>
          </w:tcPr>
          <w:p w14:paraId="3115A981">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066" w:type="dxa"/>
            <w:vAlign w:val="center"/>
          </w:tcPr>
          <w:p w14:paraId="168F405C">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r w14:paraId="52ECAE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4DDB3F90">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1D56716C">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91" w:type="dxa"/>
            <w:vAlign w:val="center"/>
          </w:tcPr>
          <w:p w14:paraId="7090D41D">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651" w:type="dxa"/>
            <w:vAlign w:val="center"/>
          </w:tcPr>
          <w:p w14:paraId="387CC861">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066" w:type="dxa"/>
            <w:vAlign w:val="center"/>
          </w:tcPr>
          <w:p w14:paraId="64230807">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r w14:paraId="292442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6FD5A24F">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64114681">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91" w:type="dxa"/>
            <w:vAlign w:val="center"/>
          </w:tcPr>
          <w:p w14:paraId="28F46E4A">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651" w:type="dxa"/>
            <w:vAlign w:val="center"/>
          </w:tcPr>
          <w:p w14:paraId="3C33E3E2">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066" w:type="dxa"/>
            <w:vAlign w:val="center"/>
          </w:tcPr>
          <w:p w14:paraId="5B0C7EAA">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r w14:paraId="7B5862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2CA5D942">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48A7A11E">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91" w:type="dxa"/>
            <w:vAlign w:val="center"/>
          </w:tcPr>
          <w:p w14:paraId="7602FA3B">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651" w:type="dxa"/>
            <w:vAlign w:val="center"/>
          </w:tcPr>
          <w:p w14:paraId="19AA872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066" w:type="dxa"/>
            <w:vAlign w:val="center"/>
          </w:tcPr>
          <w:p w14:paraId="2CB421DD">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r w14:paraId="5951F5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57BE297B">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10CA246A">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91" w:type="dxa"/>
            <w:vAlign w:val="center"/>
          </w:tcPr>
          <w:p w14:paraId="19391AAE">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651" w:type="dxa"/>
            <w:vAlign w:val="center"/>
          </w:tcPr>
          <w:p w14:paraId="3AF6AC86">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066" w:type="dxa"/>
            <w:vAlign w:val="center"/>
          </w:tcPr>
          <w:p w14:paraId="2AA355AD">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r w14:paraId="4D58E9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1343E0BC">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49B04572">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91" w:type="dxa"/>
            <w:vAlign w:val="center"/>
          </w:tcPr>
          <w:p w14:paraId="53A12ADD">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651" w:type="dxa"/>
            <w:vAlign w:val="center"/>
          </w:tcPr>
          <w:p w14:paraId="2440F8E6">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066" w:type="dxa"/>
            <w:vAlign w:val="center"/>
          </w:tcPr>
          <w:p w14:paraId="13BA0D8E">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r w14:paraId="1C936D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75C37ED4">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039639C6">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91" w:type="dxa"/>
            <w:vAlign w:val="center"/>
          </w:tcPr>
          <w:p w14:paraId="3B77F14C">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651" w:type="dxa"/>
            <w:vAlign w:val="center"/>
          </w:tcPr>
          <w:p w14:paraId="3721652C">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066" w:type="dxa"/>
            <w:vAlign w:val="center"/>
          </w:tcPr>
          <w:p w14:paraId="5726702A">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r w14:paraId="3946EC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459BFFC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40E1293A">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91" w:type="dxa"/>
            <w:vAlign w:val="center"/>
          </w:tcPr>
          <w:p w14:paraId="25D651BF">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651" w:type="dxa"/>
            <w:vAlign w:val="center"/>
          </w:tcPr>
          <w:p w14:paraId="3311C78E">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066" w:type="dxa"/>
            <w:vAlign w:val="center"/>
          </w:tcPr>
          <w:p w14:paraId="63B5FE1C">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bl>
    <w:p w14:paraId="29843DE3">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注：（1）竞争性磋商文件（含技术和服务要求等）规定的各相关条款要求，如果供应商在响应文件中没有以书面方式对竞争性磋商文件规定的各项要求和条款提出不满足或不响应或负偏离，则视为供应商能够完全理解并满足本竞争性磋商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磋商保证金（如果未签订合同）将不予退还，给采购人和采购代理机构造成损失的，还必须进行赔偿并负相关责任。</w:t>
      </w:r>
    </w:p>
    <w:p w14:paraId="3FC3121E">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2）磋商文件不能详细列明采购标的的技术、服务要求，需经磋商由供应商提供最终设计方案或解决方案的；或者供应商需要说明的内容需要通过图片、视频等特殊表达；无法适用上表格式文字说明的，则供应商可在本表中进行相应说明和页码索引，再另页具体提交应答。</w:t>
      </w:r>
    </w:p>
    <w:p w14:paraId="3624841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供应商代表签字： _________________</w:t>
      </w:r>
    </w:p>
    <w:p w14:paraId="491FB9E3">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sectPr>
          <w:pgSz w:w="11906" w:h="16838"/>
          <w:pgMar w:top="1440" w:right="1080" w:bottom="1440" w:left="1080" w:header="851" w:footer="992" w:gutter="0"/>
          <w:cols w:space="0" w:num="1"/>
          <w:docGrid w:type="lines" w:linePitch="312" w:charSpace="0"/>
        </w:sectPr>
      </w:pPr>
    </w:p>
    <w:p w14:paraId="659BCDD4">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十、商务条件和其他事项响应表 </w:t>
      </w:r>
    </w:p>
    <w:p w14:paraId="6D911E00">
      <w:pPr>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（全称加盖单位公章）</w:t>
      </w:r>
      <w:r>
        <w:rPr>
          <w:rFonts w:hint="eastAsia" w:ascii="仿宋" w:hAnsi="仿宋" w:eastAsia="仿宋" w:cs="仿宋"/>
          <w:kern w:val="0"/>
          <w:sz w:val="24"/>
          <w:highlight w:val="none"/>
        </w:rPr>
        <w:t>  项目编号∶</w:t>
      </w:r>
      <w:r>
        <w:rPr>
          <w:rFonts w:hint="eastAsia" w:ascii="仿宋" w:hAnsi="仿宋" w:eastAsia="仿宋" w:cs="仿宋"/>
          <w:kern w:val="0"/>
          <w:sz w:val="24"/>
          <w:highlight w:val="none"/>
          <w:u w:val="single"/>
        </w:rPr>
        <w:t>       </w:t>
      </w:r>
    </w:p>
    <w:tbl>
      <w:tblPr>
        <w:tblStyle w:val="19"/>
        <w:tblW w:w="9731"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20"/>
        <w:gridCol w:w="1130"/>
        <w:gridCol w:w="2551"/>
        <w:gridCol w:w="2888"/>
        <w:gridCol w:w="2142"/>
      </w:tblGrid>
      <w:tr w14:paraId="3A6C01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56" w:hRule="atLeast"/>
          <w:jc w:val="center"/>
        </w:trPr>
        <w:tc>
          <w:tcPr>
            <w:tcW w:w="1020" w:type="dxa"/>
            <w:vAlign w:val="center"/>
          </w:tcPr>
          <w:p w14:paraId="60DA1485">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采购包</w:t>
            </w:r>
          </w:p>
        </w:tc>
        <w:tc>
          <w:tcPr>
            <w:tcW w:w="1130" w:type="dxa"/>
            <w:vAlign w:val="center"/>
          </w:tcPr>
          <w:p w14:paraId="170DC608">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章节条目号</w:t>
            </w:r>
          </w:p>
        </w:tc>
        <w:tc>
          <w:tcPr>
            <w:tcW w:w="2551" w:type="dxa"/>
            <w:vAlign w:val="center"/>
          </w:tcPr>
          <w:p w14:paraId="5F47D54E">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竞争性磋商文件规定的商务条件要求</w:t>
            </w:r>
          </w:p>
        </w:tc>
        <w:tc>
          <w:tcPr>
            <w:tcW w:w="2888" w:type="dxa"/>
            <w:vAlign w:val="center"/>
          </w:tcPr>
          <w:p w14:paraId="50BBB511">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响应文件响应承诺</w:t>
            </w:r>
          </w:p>
        </w:tc>
        <w:tc>
          <w:tcPr>
            <w:tcW w:w="2142" w:type="dxa"/>
            <w:vAlign w:val="center"/>
          </w:tcPr>
          <w:p w14:paraId="200F25A4">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是否偏离及说明</w:t>
            </w:r>
          </w:p>
        </w:tc>
      </w:tr>
      <w:tr w14:paraId="10B5B0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09E2A46B">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75F89F09">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551" w:type="dxa"/>
            <w:vAlign w:val="center"/>
          </w:tcPr>
          <w:p w14:paraId="3657A542">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88" w:type="dxa"/>
            <w:vAlign w:val="center"/>
          </w:tcPr>
          <w:p w14:paraId="0EA9096E">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142" w:type="dxa"/>
            <w:vAlign w:val="center"/>
          </w:tcPr>
          <w:p w14:paraId="3BB1F826">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r w14:paraId="7A220EA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1882F71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66D13BEF">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551" w:type="dxa"/>
            <w:vAlign w:val="center"/>
          </w:tcPr>
          <w:p w14:paraId="2645F01C">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88" w:type="dxa"/>
            <w:vAlign w:val="center"/>
          </w:tcPr>
          <w:p w14:paraId="2EA429B4">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142" w:type="dxa"/>
            <w:vAlign w:val="center"/>
          </w:tcPr>
          <w:p w14:paraId="5DA754DE">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r w14:paraId="6DA1741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352F73D1">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760D53C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551" w:type="dxa"/>
            <w:vAlign w:val="center"/>
          </w:tcPr>
          <w:p w14:paraId="1F7FD1C1">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88" w:type="dxa"/>
            <w:vAlign w:val="center"/>
          </w:tcPr>
          <w:p w14:paraId="1FEE1B1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142" w:type="dxa"/>
            <w:vAlign w:val="center"/>
          </w:tcPr>
          <w:p w14:paraId="1802D0CB">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r w14:paraId="4268A8A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79409888">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4405D60B">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551" w:type="dxa"/>
            <w:vAlign w:val="center"/>
          </w:tcPr>
          <w:p w14:paraId="34925462">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88" w:type="dxa"/>
            <w:vAlign w:val="center"/>
          </w:tcPr>
          <w:p w14:paraId="1B50B39D">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142" w:type="dxa"/>
            <w:vAlign w:val="center"/>
          </w:tcPr>
          <w:p w14:paraId="08E39BFC">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r w14:paraId="47272C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0544A8B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1D72E99A">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551" w:type="dxa"/>
            <w:vAlign w:val="center"/>
          </w:tcPr>
          <w:p w14:paraId="7D196EF9">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88" w:type="dxa"/>
            <w:vAlign w:val="center"/>
          </w:tcPr>
          <w:p w14:paraId="4FD1C145">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142" w:type="dxa"/>
            <w:vAlign w:val="center"/>
          </w:tcPr>
          <w:p w14:paraId="30BAC5B5">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r w14:paraId="0601A9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7C3C575C">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40F91CA1">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551" w:type="dxa"/>
            <w:vAlign w:val="center"/>
          </w:tcPr>
          <w:p w14:paraId="76360CA5">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88" w:type="dxa"/>
            <w:vAlign w:val="center"/>
          </w:tcPr>
          <w:p w14:paraId="5B1A1B25">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142" w:type="dxa"/>
            <w:vAlign w:val="center"/>
          </w:tcPr>
          <w:p w14:paraId="4BD7B35A">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r w14:paraId="6C1418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5EA86202">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7881AB94">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551" w:type="dxa"/>
            <w:vAlign w:val="center"/>
          </w:tcPr>
          <w:p w14:paraId="5E600718">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88" w:type="dxa"/>
            <w:vAlign w:val="center"/>
          </w:tcPr>
          <w:p w14:paraId="319D5793">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142" w:type="dxa"/>
            <w:vAlign w:val="center"/>
          </w:tcPr>
          <w:p w14:paraId="40233E2A">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r w14:paraId="7D6BF4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1020" w:type="dxa"/>
            <w:vAlign w:val="center"/>
          </w:tcPr>
          <w:p w14:paraId="3E52C6B4">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1130" w:type="dxa"/>
            <w:vAlign w:val="center"/>
          </w:tcPr>
          <w:p w14:paraId="1A3B1706">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551" w:type="dxa"/>
            <w:vAlign w:val="center"/>
          </w:tcPr>
          <w:p w14:paraId="01CBB35C">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888" w:type="dxa"/>
            <w:vAlign w:val="center"/>
          </w:tcPr>
          <w:p w14:paraId="31A7F8F2">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c>
          <w:tcPr>
            <w:tcW w:w="2142" w:type="dxa"/>
            <w:vAlign w:val="center"/>
          </w:tcPr>
          <w:p w14:paraId="012EF1FF">
            <w:pPr>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kern w:val="0"/>
                <w:sz w:val="24"/>
                <w:highlight w:val="none"/>
              </w:rPr>
            </w:pPr>
          </w:p>
        </w:tc>
      </w:tr>
    </w:tbl>
    <w:p w14:paraId="32D66AF9">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注：（1）竞争性磋商文件（含技术和服务要求等）规定的各相关条款要求，如果供应商在响应文件中没有以书面方式对竞争性磋商文件规定的各项要求和条款提出不满足或不响应或负偏离，则视为供应商能够完全理解并满足本竞争性磋商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磋商保证金（如果未签订合同）将不予退还，给采购人和采购代理机构造成损失的，还必须进行赔偿并负相关责任。</w:t>
      </w:r>
    </w:p>
    <w:p w14:paraId="5B797985">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2）磋商文件不能详细列明采购标的的技术、服务要求，需经磋商由供应商提供最终设计方案或解决方案的；或者供应商需要说明的内容需要通过图片、视频等特殊表达；无法适用上表格式文字说明的，则供应商可在本表中进行相应说明和页码索引，再另页具体提交应答。</w:t>
      </w:r>
    </w:p>
    <w:p w14:paraId="3B4C869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供应商代表签字： _________________</w:t>
      </w:r>
    </w:p>
    <w:p w14:paraId="514F2FBD">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sectPr>
          <w:pgSz w:w="11906" w:h="16838"/>
          <w:pgMar w:top="1440" w:right="1080" w:bottom="1440" w:left="1080" w:header="851" w:footer="992" w:gutter="0"/>
          <w:cols w:space="0" w:num="1"/>
          <w:docGrid w:type="lines" w:linePitch="312" w:charSpace="0"/>
        </w:sectPr>
      </w:pPr>
    </w:p>
    <w:p w14:paraId="237F5287">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十一、相关技术、商务、服务响应承诺及资料</w:t>
      </w:r>
    </w:p>
    <w:p w14:paraId="14EE993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6A64A466">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说明：    </w:t>
      </w:r>
    </w:p>
    <w:p w14:paraId="26627B8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采购人或采购代理机构可以根据项目的特点和需要，在磋商文件中对供应商需要提供的相关技术、商务、服务响应承诺及资料进行具体规定或附表格式，供应商应按照磋商文件要求提供相关承诺及材料，并加盖供应商单位公章。</w:t>
      </w:r>
    </w:p>
    <w:p w14:paraId="328EAF4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2.如果没有特别要求的，供应商根据磋商文件的要求以及特点，提供相关技术、商务、服务响应承诺及资料，格式自拟。</w:t>
      </w:r>
    </w:p>
    <w:p w14:paraId="6740EE33">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 </w:t>
      </w:r>
    </w:p>
    <w:p w14:paraId="157F916B">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kern w:val="0"/>
          <w:sz w:val="24"/>
          <w:highlight w:val="none"/>
        </w:rPr>
      </w:pPr>
      <w:r>
        <w:rPr>
          <w:rFonts w:hint="eastAsia" w:ascii="仿宋" w:hAnsi="仿宋" w:eastAsia="仿宋" w:cs="仿宋"/>
          <w:b/>
          <w:bCs/>
          <w:kern w:val="0"/>
          <w:sz w:val="24"/>
          <w:highlight w:val="none"/>
        </w:rPr>
        <w:t> </w:t>
      </w:r>
    </w:p>
    <w:p w14:paraId="1E6A683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5504B26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00E2C7E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w:t>
      </w:r>
      <w:r>
        <w:rPr>
          <w:rFonts w:hint="eastAsia" w:ascii="仿宋" w:hAnsi="仿宋" w:eastAsia="仿宋" w:cs="仿宋"/>
          <w:kern w:val="0"/>
          <w:sz w:val="24"/>
          <w:highlight w:val="none"/>
          <w:u w:val="single"/>
        </w:rPr>
        <w:t>             （签字） </w:t>
      </w:r>
    </w:p>
    <w:p w14:paraId="30F2803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（全称并加盖公章）  </w:t>
      </w:r>
    </w:p>
    <w:p w14:paraId="72AC601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  期：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3BFDD72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sectPr>
          <w:pgSz w:w="11906" w:h="16838"/>
          <w:pgMar w:top="1440" w:right="1080" w:bottom="1440" w:left="1080" w:header="851" w:footer="992" w:gutter="0"/>
          <w:cols w:space="0" w:num="1"/>
          <w:docGrid w:type="lines" w:linePitch="312" w:charSpace="0"/>
        </w:sectPr>
      </w:pPr>
      <w:r>
        <w:rPr>
          <w:rFonts w:hint="eastAsia" w:ascii="仿宋" w:hAnsi="仿宋" w:eastAsia="仿宋" w:cs="仿宋"/>
          <w:kern w:val="0"/>
          <w:sz w:val="24"/>
          <w:highlight w:val="none"/>
        </w:rPr>
        <w:t> </w:t>
      </w:r>
    </w:p>
    <w:p w14:paraId="1121AE23">
      <w:pPr>
        <w:pageBreakBefore w:val="0"/>
        <w:widowControl w:val="0"/>
        <w:kinsoku/>
        <w:wordWrap/>
        <w:overflowPunct/>
        <w:topLinePunct w:val="0"/>
        <w:autoSpaceDE/>
        <w:autoSpaceDN/>
        <w:bidi w:val="0"/>
        <w:adjustRightInd/>
        <w:snapToGrid/>
        <w:spacing w:beforeLines="50" w:afterLines="50" w:line="360" w:lineRule="auto"/>
        <w:jc w:val="center"/>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十三、要求作为响应文件组成部分的其他内容（若有）</w:t>
      </w:r>
    </w:p>
    <w:p w14:paraId="20C8F36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17CA578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说明：</w:t>
      </w:r>
    </w:p>
    <w:p w14:paraId="7901CAB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采购人或采购代理机构可以根据项目的特点和需要，在磋商文件中对要求作为响应文件组成部分的其他内容进行具体规定或附表格式，供应商应按照磋商文件要求提供相关承诺及材料，并加盖供应商单位公章。</w:t>
      </w:r>
    </w:p>
    <w:p w14:paraId="12DB53E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2、供应商根据自身实际情况编写有关资料包括如供应商单位简介、竞争性磋商文件要求提供或供应商</w:t>
      </w:r>
      <w:r>
        <w:rPr>
          <w:rFonts w:hint="eastAsia" w:ascii="仿宋" w:hAnsi="仿宋" w:eastAsia="仿宋" w:cs="仿宋"/>
          <w:kern w:val="0"/>
          <w:sz w:val="24"/>
          <w:highlight w:val="none"/>
          <w:lang w:eastAsia="zh-CN"/>
        </w:rPr>
        <w:t>自己</w:t>
      </w:r>
      <w:r>
        <w:rPr>
          <w:rFonts w:hint="eastAsia" w:ascii="仿宋" w:hAnsi="仿宋" w:eastAsia="仿宋" w:cs="仿宋"/>
          <w:kern w:val="0"/>
          <w:sz w:val="24"/>
          <w:highlight w:val="none"/>
        </w:rPr>
        <w:t>认为体现自身优势，需要补充说明的</w:t>
      </w:r>
      <w:r>
        <w:rPr>
          <w:rFonts w:hint="eastAsia" w:ascii="仿宋" w:hAnsi="仿宋" w:eastAsia="仿宋" w:cs="仿宋"/>
          <w:kern w:val="0"/>
          <w:sz w:val="24"/>
          <w:highlight w:val="none"/>
          <w:lang w:eastAsia="zh-CN"/>
        </w:rPr>
        <w:t>其他</w:t>
      </w:r>
      <w:r>
        <w:rPr>
          <w:rFonts w:hint="eastAsia" w:ascii="仿宋" w:hAnsi="仿宋" w:eastAsia="仿宋" w:cs="仿宋"/>
          <w:kern w:val="0"/>
          <w:sz w:val="24"/>
          <w:highlight w:val="none"/>
        </w:rPr>
        <w:t>资料，格式自拟。</w:t>
      </w:r>
    </w:p>
    <w:p w14:paraId="572C400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shd w:val="clear" w:color="auto" w:fill="7F7F7F"/>
        </w:rPr>
      </w:pPr>
    </w:p>
    <w:p w14:paraId="5161E30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供应商代表：</w:t>
      </w:r>
      <w:r>
        <w:rPr>
          <w:rFonts w:hint="eastAsia" w:ascii="仿宋" w:hAnsi="仿宋" w:eastAsia="仿宋" w:cs="仿宋"/>
          <w:kern w:val="0"/>
          <w:sz w:val="24"/>
          <w:highlight w:val="none"/>
          <w:u w:val="single"/>
        </w:rPr>
        <w:t>             （签字） </w:t>
      </w:r>
    </w:p>
    <w:p w14:paraId="7905AFB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（全称并加盖公章）</w:t>
      </w:r>
    </w:p>
    <w:p w14:paraId="41CAC65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  期：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年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月 </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日</w:t>
      </w:r>
    </w:p>
    <w:p w14:paraId="39F9D76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0F272A9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w:t>
      </w:r>
    </w:p>
    <w:p w14:paraId="5AD0BA8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rPr>
      </w:pPr>
    </w:p>
    <w:p w14:paraId="39B1005F">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highlight w:val="none"/>
        </w:rPr>
      </w:pPr>
    </w:p>
    <w:sectPr>
      <w:pgSz w:w="11906" w:h="16838"/>
      <w:pgMar w:top="1440" w:right="1080" w:bottom="1440" w:left="108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C6D73">
    <w:pPr>
      <w:pStyle w:val="3"/>
      <w:jc w:val="center"/>
      <w:rPr>
        <w:rFonts w:ascii="仿宋" w:hAnsi="仿宋" w:eastAsia="仿宋"/>
        <w:sz w:val="24"/>
      </w:rPr>
    </w:pPr>
    <w:r>
      <w:rPr>
        <w:rFonts w:hint="eastAsia" w:ascii="仿宋" w:hAnsi="仿宋" w:eastAsia="仿宋"/>
        <w:sz w:val="24"/>
      </w:rPr>
      <w:t xml:space="preserve">第 </w:t>
    </w:r>
    <w:r>
      <w:rPr>
        <w:rFonts w:hint="eastAsia" w:ascii="仿宋" w:hAnsi="仿宋" w:eastAsia="仿宋"/>
        <w:sz w:val="24"/>
      </w:rPr>
      <w:fldChar w:fldCharType="begin"/>
    </w:r>
    <w:r>
      <w:rPr>
        <w:rFonts w:hint="eastAsia" w:ascii="仿宋" w:hAnsi="仿宋" w:eastAsia="仿宋"/>
        <w:sz w:val="24"/>
      </w:rPr>
      <w:instrText xml:space="preserve"> PAGE  \* MERGEFORMAT </w:instrText>
    </w:r>
    <w:r>
      <w:rPr>
        <w:rFonts w:hint="eastAsia" w:ascii="仿宋" w:hAnsi="仿宋" w:eastAsia="仿宋"/>
        <w:sz w:val="24"/>
      </w:rPr>
      <w:fldChar w:fldCharType="separate"/>
    </w:r>
    <w:r>
      <w:rPr>
        <w:rFonts w:ascii="仿宋" w:hAnsi="仿宋" w:eastAsia="仿宋"/>
        <w:sz w:val="24"/>
      </w:rPr>
      <w:t>36</w:t>
    </w:r>
    <w:r>
      <w:rPr>
        <w:rFonts w:hint="eastAsia" w:ascii="仿宋" w:hAnsi="仿宋" w:eastAsia="仿宋"/>
        <w:sz w:val="24"/>
      </w:rPr>
      <w:fldChar w:fldCharType="end"/>
    </w:r>
    <w:r>
      <w:rPr>
        <w:rFonts w:hint="eastAsia" w:ascii="仿宋" w:hAnsi="仿宋" w:eastAsia="仿宋"/>
        <w:sz w:val="24"/>
      </w:rPr>
      <w:t xml:space="preserve"> 页 共 </w:t>
    </w:r>
    <w:r>
      <w:fldChar w:fldCharType="begin"/>
    </w:r>
    <w:r>
      <w:instrText xml:space="preserve"> NUMPAGES  \* MERGEFORMAT </w:instrText>
    </w:r>
    <w:r>
      <w:fldChar w:fldCharType="separate"/>
    </w:r>
    <w:r>
      <w:rPr>
        <w:rFonts w:ascii="仿宋" w:hAnsi="仿宋" w:eastAsia="仿宋"/>
        <w:sz w:val="24"/>
      </w:rPr>
      <w:t>78</w:t>
    </w:r>
    <w:r>
      <w:rPr>
        <w:rFonts w:ascii="仿宋" w:hAnsi="仿宋" w:eastAsia="仿宋"/>
        <w:sz w:val="24"/>
      </w:rPr>
      <w:fldChar w:fldCharType="end"/>
    </w:r>
    <w:r>
      <w:rPr>
        <w:rFonts w:hint="eastAsia" w:ascii="仿宋" w:hAnsi="仿宋" w:eastAsia="仿宋"/>
        <w:sz w:val="24"/>
      </w:rPr>
      <w:t xml:space="preserve">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2827D">
    <w:pPr>
      <w:pStyle w:val="12"/>
      <w:pBdr>
        <w:bottom w:val="single" w:color="auto" w:sz="4" w:space="1"/>
      </w:pBdr>
      <w:jc w:val="right"/>
    </w:pPr>
    <w:r>
      <w:rPr>
        <w:rFonts w:hint="eastAsia" w:ascii="仿宋" w:hAnsi="仿宋" w:eastAsia="仿宋"/>
        <w:sz w:val="24"/>
        <w:szCs w:val="28"/>
      </w:rPr>
      <w:t>福建经发招标代理有限公司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641B29"/>
    <w:multiLevelType w:val="singleLevel"/>
    <w:tmpl w:val="AA641B2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BlMmUzMGZhODAyMGU4YjQ4OWRiMWNkN2Y1ZTQ1MDQifQ=="/>
  </w:docVars>
  <w:rsids>
    <w:rsidRoot w:val="6C933ACE"/>
    <w:rsid w:val="00155137"/>
    <w:rsid w:val="001E0401"/>
    <w:rsid w:val="002E7932"/>
    <w:rsid w:val="003117A5"/>
    <w:rsid w:val="00332553"/>
    <w:rsid w:val="00412D70"/>
    <w:rsid w:val="005B1A28"/>
    <w:rsid w:val="006E1E9F"/>
    <w:rsid w:val="008031D5"/>
    <w:rsid w:val="008A08D9"/>
    <w:rsid w:val="009A43BA"/>
    <w:rsid w:val="00A4107D"/>
    <w:rsid w:val="00C20299"/>
    <w:rsid w:val="00C56DB6"/>
    <w:rsid w:val="00D17394"/>
    <w:rsid w:val="00DB588A"/>
    <w:rsid w:val="00E142A0"/>
    <w:rsid w:val="00F631CC"/>
    <w:rsid w:val="028D72A4"/>
    <w:rsid w:val="031D6DB7"/>
    <w:rsid w:val="03D76747"/>
    <w:rsid w:val="040424ED"/>
    <w:rsid w:val="04C41D74"/>
    <w:rsid w:val="05A9366F"/>
    <w:rsid w:val="064265FE"/>
    <w:rsid w:val="064F4232"/>
    <w:rsid w:val="065277F3"/>
    <w:rsid w:val="0695555D"/>
    <w:rsid w:val="06AE00BD"/>
    <w:rsid w:val="07D84CE9"/>
    <w:rsid w:val="08B2751E"/>
    <w:rsid w:val="09831579"/>
    <w:rsid w:val="0BE67BA2"/>
    <w:rsid w:val="0C1611A3"/>
    <w:rsid w:val="0C2121C9"/>
    <w:rsid w:val="0C7156BE"/>
    <w:rsid w:val="0D1045D5"/>
    <w:rsid w:val="0D6A2ABA"/>
    <w:rsid w:val="0E016B61"/>
    <w:rsid w:val="0EB714DA"/>
    <w:rsid w:val="10011DA5"/>
    <w:rsid w:val="10C468F3"/>
    <w:rsid w:val="10D97F75"/>
    <w:rsid w:val="11337434"/>
    <w:rsid w:val="11D87F8D"/>
    <w:rsid w:val="11F70688"/>
    <w:rsid w:val="12770D65"/>
    <w:rsid w:val="13B52F8D"/>
    <w:rsid w:val="14712058"/>
    <w:rsid w:val="16BA06EC"/>
    <w:rsid w:val="171D4AA2"/>
    <w:rsid w:val="17591B70"/>
    <w:rsid w:val="17842187"/>
    <w:rsid w:val="1818323C"/>
    <w:rsid w:val="1ABD7A93"/>
    <w:rsid w:val="1B917AED"/>
    <w:rsid w:val="1EAC5F85"/>
    <w:rsid w:val="20914490"/>
    <w:rsid w:val="20AB18E1"/>
    <w:rsid w:val="22FA3371"/>
    <w:rsid w:val="23C57A29"/>
    <w:rsid w:val="244C1183"/>
    <w:rsid w:val="25DB494C"/>
    <w:rsid w:val="26BC3F61"/>
    <w:rsid w:val="2A0F520D"/>
    <w:rsid w:val="2AD56D53"/>
    <w:rsid w:val="2BC5790E"/>
    <w:rsid w:val="2BEA311C"/>
    <w:rsid w:val="2C155C0E"/>
    <w:rsid w:val="2E2103D2"/>
    <w:rsid w:val="2EFD47D9"/>
    <w:rsid w:val="304D05A1"/>
    <w:rsid w:val="306B5977"/>
    <w:rsid w:val="30A763C3"/>
    <w:rsid w:val="30DA53B3"/>
    <w:rsid w:val="31333B30"/>
    <w:rsid w:val="318C24FB"/>
    <w:rsid w:val="31931FBC"/>
    <w:rsid w:val="31F13274"/>
    <w:rsid w:val="32B7379A"/>
    <w:rsid w:val="32F45A01"/>
    <w:rsid w:val="357D1386"/>
    <w:rsid w:val="36F16616"/>
    <w:rsid w:val="38EE53E2"/>
    <w:rsid w:val="3B767C00"/>
    <w:rsid w:val="3BE47B60"/>
    <w:rsid w:val="3CEA4D30"/>
    <w:rsid w:val="3D352E11"/>
    <w:rsid w:val="3DE234D7"/>
    <w:rsid w:val="40353E71"/>
    <w:rsid w:val="41FB39B0"/>
    <w:rsid w:val="44202525"/>
    <w:rsid w:val="445F19AD"/>
    <w:rsid w:val="45E73C64"/>
    <w:rsid w:val="47354F62"/>
    <w:rsid w:val="47F92BC7"/>
    <w:rsid w:val="492133A2"/>
    <w:rsid w:val="4B1B759B"/>
    <w:rsid w:val="4D344425"/>
    <w:rsid w:val="4D9252A3"/>
    <w:rsid w:val="4E3C6734"/>
    <w:rsid w:val="4F474A64"/>
    <w:rsid w:val="500C0E7A"/>
    <w:rsid w:val="501E3640"/>
    <w:rsid w:val="5034460D"/>
    <w:rsid w:val="507E718C"/>
    <w:rsid w:val="50A67986"/>
    <w:rsid w:val="51352494"/>
    <w:rsid w:val="513D7FD0"/>
    <w:rsid w:val="52F54758"/>
    <w:rsid w:val="53374EFD"/>
    <w:rsid w:val="550A5C7C"/>
    <w:rsid w:val="5C182B6D"/>
    <w:rsid w:val="5D3662D9"/>
    <w:rsid w:val="5D474DFE"/>
    <w:rsid w:val="5DB85DA8"/>
    <w:rsid w:val="5ECC3C7D"/>
    <w:rsid w:val="61D21D6E"/>
    <w:rsid w:val="61DA10D2"/>
    <w:rsid w:val="635563FB"/>
    <w:rsid w:val="656243E3"/>
    <w:rsid w:val="65AE0CF2"/>
    <w:rsid w:val="6634569E"/>
    <w:rsid w:val="66B877A2"/>
    <w:rsid w:val="67DA328C"/>
    <w:rsid w:val="69914FC4"/>
    <w:rsid w:val="6AF26B3F"/>
    <w:rsid w:val="6C933ACE"/>
    <w:rsid w:val="6CC20222"/>
    <w:rsid w:val="6D236BB5"/>
    <w:rsid w:val="6FAB00E9"/>
    <w:rsid w:val="7020417B"/>
    <w:rsid w:val="71D87FE8"/>
    <w:rsid w:val="72504CA7"/>
    <w:rsid w:val="72625D27"/>
    <w:rsid w:val="72D86BEA"/>
    <w:rsid w:val="739A6A3E"/>
    <w:rsid w:val="73AC58CB"/>
    <w:rsid w:val="75442090"/>
    <w:rsid w:val="77747815"/>
    <w:rsid w:val="791D747D"/>
    <w:rsid w:val="7AE85143"/>
    <w:rsid w:val="7C71162E"/>
    <w:rsid w:val="7D3A04DC"/>
    <w:rsid w:val="7DB627E2"/>
    <w:rsid w:val="7FFC6F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autoRedefine/>
    <w:qFormat/>
    <w:uiPriority w:val="9"/>
    <w:pPr>
      <w:keepNext/>
      <w:keepLines/>
      <w:spacing w:beforeLines="100" w:afterLines="100"/>
      <w:jc w:val="center"/>
      <w:outlineLvl w:val="0"/>
    </w:pPr>
    <w:rPr>
      <w:rFonts w:eastAsia="仿宋"/>
      <w:b/>
      <w:bCs/>
      <w:kern w:val="44"/>
      <w:sz w:val="32"/>
      <w:szCs w:val="44"/>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customStyle="1" w:styleId="2">
    <w:name w:val="1.正文"/>
    <w:basedOn w:val="1"/>
    <w:next w:val="3"/>
    <w:qFormat/>
    <w:uiPriority w:val="99"/>
    <w:rPr>
      <w:rFonts w:hAnsi="Times New Roman"/>
    </w:rPr>
  </w:style>
  <w:style w:type="paragraph" w:styleId="3">
    <w:name w:val="footer"/>
    <w:basedOn w:val="1"/>
    <w:autoRedefine/>
    <w:qFormat/>
    <w:uiPriority w:val="0"/>
    <w:pPr>
      <w:tabs>
        <w:tab w:val="center" w:pos="4153"/>
        <w:tab w:val="right" w:pos="8306"/>
      </w:tabs>
      <w:snapToGrid w:val="0"/>
      <w:jc w:val="left"/>
    </w:pPr>
    <w:rPr>
      <w:sz w:val="18"/>
    </w:rPr>
  </w:style>
  <w:style w:type="paragraph" w:styleId="6">
    <w:name w:val="Document Map"/>
    <w:basedOn w:val="1"/>
    <w:link w:val="26"/>
    <w:autoRedefine/>
    <w:qFormat/>
    <w:uiPriority w:val="0"/>
    <w:rPr>
      <w:rFonts w:ascii="宋体" w:eastAsia="宋体"/>
      <w:sz w:val="18"/>
      <w:szCs w:val="18"/>
    </w:rPr>
  </w:style>
  <w:style w:type="paragraph" w:styleId="7">
    <w:name w:val="annotation text"/>
    <w:basedOn w:val="1"/>
    <w:link w:val="28"/>
    <w:autoRedefine/>
    <w:qFormat/>
    <w:uiPriority w:val="0"/>
    <w:pPr>
      <w:jc w:val="left"/>
    </w:pPr>
  </w:style>
  <w:style w:type="paragraph" w:styleId="8">
    <w:name w:val="Body Text"/>
    <w:basedOn w:val="1"/>
    <w:next w:val="1"/>
    <w:autoRedefine/>
    <w:qFormat/>
    <w:uiPriority w:val="0"/>
    <w:pPr>
      <w:spacing w:line="380" w:lineRule="atLeast"/>
    </w:pPr>
    <w:rPr>
      <w:rFonts w:ascii="Times New Roman" w:hAnsi="Times New Roman" w:eastAsia="宋体"/>
      <w:sz w:val="24"/>
    </w:rPr>
  </w:style>
  <w:style w:type="paragraph" w:styleId="9">
    <w:name w:val="Body Text Indent"/>
    <w:basedOn w:val="1"/>
    <w:next w:val="10"/>
    <w:autoRedefine/>
    <w:qFormat/>
    <w:uiPriority w:val="0"/>
    <w:pPr>
      <w:spacing w:after="120"/>
      <w:ind w:left="420" w:leftChars="200"/>
    </w:pPr>
  </w:style>
  <w:style w:type="paragraph" w:styleId="10">
    <w:name w:val="envelope return"/>
    <w:basedOn w:val="1"/>
    <w:autoRedefine/>
    <w:qFormat/>
    <w:uiPriority w:val="0"/>
    <w:pPr>
      <w:snapToGrid w:val="0"/>
    </w:pPr>
    <w:rPr>
      <w:rFonts w:ascii="Arial" w:hAnsi="Arial"/>
    </w:rPr>
  </w:style>
  <w:style w:type="paragraph" w:styleId="11">
    <w:name w:val="Balloon Text"/>
    <w:basedOn w:val="1"/>
    <w:link w:val="27"/>
    <w:autoRedefine/>
    <w:qFormat/>
    <w:uiPriority w:val="0"/>
    <w:rPr>
      <w:sz w:val="18"/>
      <w:szCs w:val="18"/>
    </w:rPr>
  </w:style>
  <w:style w:type="paragraph" w:styleId="1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autoRedefine/>
    <w:qFormat/>
    <w:uiPriority w:val="39"/>
  </w:style>
  <w:style w:type="paragraph" w:styleId="14">
    <w:name w:val="toc 2"/>
    <w:basedOn w:val="1"/>
    <w:next w:val="1"/>
    <w:autoRedefine/>
    <w:qFormat/>
    <w:uiPriority w:val="39"/>
    <w:pPr>
      <w:ind w:left="420" w:leftChars="200"/>
    </w:pPr>
  </w:style>
  <w:style w:type="paragraph" w:styleId="15">
    <w:name w:val="Normal (Web)"/>
    <w:basedOn w:val="1"/>
    <w:autoRedefine/>
    <w:qFormat/>
    <w:uiPriority w:val="99"/>
    <w:pPr>
      <w:spacing w:beforeAutospacing="1" w:afterAutospacing="1"/>
      <w:jc w:val="left"/>
    </w:pPr>
    <w:rPr>
      <w:rFonts w:cs="Times New Roman"/>
      <w:kern w:val="0"/>
      <w:sz w:val="24"/>
    </w:rPr>
  </w:style>
  <w:style w:type="paragraph" w:styleId="16">
    <w:name w:val="annotation subject"/>
    <w:basedOn w:val="7"/>
    <w:next w:val="7"/>
    <w:link w:val="29"/>
    <w:autoRedefine/>
    <w:qFormat/>
    <w:uiPriority w:val="0"/>
    <w:rPr>
      <w:b/>
      <w:bCs/>
    </w:rPr>
  </w:style>
  <w:style w:type="paragraph" w:styleId="17">
    <w:name w:val="Body Text First Indent 2"/>
    <w:basedOn w:val="9"/>
    <w:autoRedefine/>
    <w:qFormat/>
    <w:uiPriority w:val="0"/>
    <w:pPr>
      <w:ind w:firstLine="420" w:firstLineChars="200"/>
    </w:pPr>
    <w:rPr>
      <w:szCs w:val="20"/>
    </w:rPr>
  </w:style>
  <w:style w:type="table" w:styleId="19">
    <w:name w:val="Table Grid"/>
    <w:basedOn w:val="18"/>
    <w:autoRedefine/>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1">
    <w:name w:val="Strong"/>
    <w:basedOn w:val="20"/>
    <w:autoRedefine/>
    <w:qFormat/>
    <w:uiPriority w:val="22"/>
    <w:rPr>
      <w:b/>
    </w:rPr>
  </w:style>
  <w:style w:type="character" w:styleId="22">
    <w:name w:val="Hyperlink"/>
    <w:basedOn w:val="20"/>
    <w:autoRedefine/>
    <w:qFormat/>
    <w:uiPriority w:val="99"/>
    <w:rPr>
      <w:color w:val="0000FF"/>
      <w:u w:val="single"/>
    </w:rPr>
  </w:style>
  <w:style w:type="character" w:styleId="23">
    <w:name w:val="annotation reference"/>
    <w:basedOn w:val="20"/>
    <w:autoRedefine/>
    <w:qFormat/>
    <w:uiPriority w:val="0"/>
    <w:rPr>
      <w:sz w:val="21"/>
      <w:szCs w:val="21"/>
    </w:rPr>
  </w:style>
  <w:style w:type="paragraph" w:customStyle="1" w:styleId="24">
    <w:name w:val="yhw3"/>
    <w:basedOn w:val="1"/>
    <w:autoRedefine/>
    <w:qFormat/>
    <w:uiPriority w:val="0"/>
    <w:pPr>
      <w:ind w:firstLine="640" w:firstLineChars="200"/>
    </w:pPr>
    <w:rPr>
      <w:rFonts w:cs="宋体"/>
    </w:rPr>
  </w:style>
  <w:style w:type="table" w:customStyle="1" w:styleId="25">
    <w:name w:val="网格型1"/>
    <w:basedOn w:val="18"/>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6">
    <w:name w:val="文档结构图 Char"/>
    <w:basedOn w:val="20"/>
    <w:link w:val="6"/>
    <w:autoRedefine/>
    <w:qFormat/>
    <w:uiPriority w:val="0"/>
    <w:rPr>
      <w:rFonts w:ascii="宋体" w:eastAsia="宋体"/>
      <w:kern w:val="2"/>
      <w:sz w:val="18"/>
      <w:szCs w:val="18"/>
    </w:rPr>
  </w:style>
  <w:style w:type="character" w:customStyle="1" w:styleId="27">
    <w:name w:val="批注框文本 Char"/>
    <w:basedOn w:val="20"/>
    <w:link w:val="11"/>
    <w:autoRedefine/>
    <w:qFormat/>
    <w:uiPriority w:val="0"/>
    <w:rPr>
      <w:kern w:val="2"/>
      <w:sz w:val="18"/>
      <w:szCs w:val="18"/>
    </w:rPr>
  </w:style>
  <w:style w:type="character" w:customStyle="1" w:styleId="28">
    <w:name w:val="批注文字 Char"/>
    <w:basedOn w:val="20"/>
    <w:link w:val="7"/>
    <w:autoRedefine/>
    <w:qFormat/>
    <w:uiPriority w:val="0"/>
    <w:rPr>
      <w:kern w:val="2"/>
      <w:sz w:val="21"/>
      <w:szCs w:val="24"/>
    </w:rPr>
  </w:style>
  <w:style w:type="character" w:customStyle="1" w:styleId="29">
    <w:name w:val="批注主题 Char"/>
    <w:basedOn w:val="28"/>
    <w:link w:val="16"/>
    <w:autoRedefine/>
    <w:qFormat/>
    <w:uiPriority w:val="0"/>
    <w:rPr>
      <w:b/>
      <w:bCs/>
    </w:rPr>
  </w:style>
  <w:style w:type="paragraph" w:customStyle="1" w:styleId="30">
    <w:name w:val="null3"/>
    <w:autoRedefine/>
    <w:hidden/>
    <w:qFormat/>
    <w:uiPriority w:val="0"/>
    <w:rPr>
      <w:rFonts w:hint="eastAsia" w:asciiTheme="minorHAnsi" w:hAnsiTheme="minorHAnsi" w:eastAsiaTheme="minorEastAsia" w:cstheme="minorBidi"/>
      <w:lang w:val="en-US" w:eastAsia="zh-Hans"/>
    </w:rPr>
  </w:style>
  <w:style w:type="paragraph" w:styleId="31">
    <w:name w:val="List Paragraph"/>
    <w:basedOn w:val="1"/>
    <w:autoRedefine/>
    <w:unhideWhenUsed/>
    <w:qFormat/>
    <w:uiPriority w:val="99"/>
    <w:pPr>
      <w:ind w:firstLine="420" w:firstLineChars="200"/>
    </w:pPr>
  </w:style>
  <w:style w:type="paragraph" w:customStyle="1" w:styleId="32">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cyu</Company>
  <Pages>97</Pages>
  <Words>5433</Words>
  <Characters>5881</Characters>
  <Lines>354</Lines>
  <Paragraphs>99</Paragraphs>
  <TotalTime>4</TotalTime>
  <ScaleCrop>false</ScaleCrop>
  <LinksUpToDate>false</LinksUpToDate>
  <CharactersWithSpaces>6016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2022-08-29T01:08:00Z</dcterms:created>
  <dc:creator>cll</dc:creator>
  <cp:lastModifiedBy>IVY审</cp:lastModifiedBy>
  <dcterms:modified xsi:type="dcterms:W3CDTF">2026-04-23T09:13:49Z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6DEBC40C387E4FD6B75B22EF670D7C52_13</vt:lpwstr>
  </property>
  <property fmtid="{D5CDD505-2E9C-101B-9397-08002B2CF9AE}" pid="4" name="KSOTemplateDocerSaveRecord">
    <vt:lpwstr>eyJoZGlkIjoiOTBlMmUzMGZhODAyMGU4YjQ4OWRiMWNkN2Y1ZTQ1MDQiLCJ1c2VySWQiOiIyMTEwMjQzODIifQ==</vt:lpwstr>
  </property>
</Properties>
</file>